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A/2446/2007 vom 23. Oktober 2007</w:t>
      </w:r>
    </w:p>
    <w:p>
      <w:r>
        <w:t>GE Cour de justice, 2007-10-23, FR</w:t>
      </w:r>
    </w:p>
    <w:p>
      <w:r>
        <w:rPr>
          <w:b/>
        </w:rPr>
        <w:t xml:space="preserve">Quelle: </w:t>
      </w:r>
      <w:r>
        <w:t>https://mcp.opencaselaw.ch/entscheid/ge_gerichte_A_2446_2007</w:t>
      </w:r>
    </w:p>
    <w:p>
      <w:r>
        <w:t>FR: GE_GERICHTE A/2446/2007 du 23 octobre 2007</w:t>
      </w:r>
    </w:p>
    <w:p>
      <w:r>
        <w:t>IT: GE_GERICHTE A/2446/2007 del 23 ottobre 2007</w:t>
      </w:r>
    </w:p>
    <w:p>
      <w:pPr>
        <w:pStyle w:val="Heading2"/>
      </w:pPr>
      <w:r>
        <w:t>Erwägungen</w:t>
      </w:r>
    </w:p>
    <w:p>
      <w:r>
        <w:rPr>
          <w:b/>
        </w:rPr>
        <w:t>E. 7</w:t>
      </w:r>
    </w:p>
    <w:p>
      <w:r>
        <w:t>La demanderesse reproche à LA MOBILIERE de s'être fondée sur l'expertise du Dr B___________, alors que cette expertise est "débile". Elle a cependant expliqué lors de son audition qu'elle ne contestait pas les conclusions de l'expert selon lesquelles aucun diagnostic psychique ou psychiatrique ne pouvait être retenu, mais uniquement la façon dont l'examen s'était déroulé et dont le rapport avait été rédigé. Interrogée sur l'intérêt qu'elle avait à ce qu'un tribunal constate les lacunes, les contradictions, les incohérences et les erreurs contenues dans le rapport d'expertise, la demanderesse s'est bornée à insister sur le fait qu'elle ne présentait aucune atteinte psychique ou psychiatrique, et a rappelé qu'en revanche elle était très handicapée sur le plan physique. Il convient de rappeler à ce stade que LA MOBILIERE a accordé à la demanderesse des prestations sur la base des conclusions de l'expert rhumatologue E___________. En d'autres termes, la demanderesse nie au rapport du Dr B___________ toute valeur probante. Pour qu'une expertise se voie conférer une valeur probante, il faut que le rapport soit complet, qu'il comporte une anamnèse, une description claire des interférences médicales et des conclusions bien motivées (cf. ATF du 22 janvier 2002, 5P.421/2001 , consid. 4c). Tel n'est pas le cas si l'expert n'a pas répondu aux questions posées, si ses conclusions sont contradictoires ou si, de quelle qu'autre façon, l'expertise est entachée de défauts à ce point évidents et reconnaissables, même sans connaissances spécifiques, que le juge ne pouvait tout simplement pas les ignorer (cf. ATF du 20 avril 2001, 5P.457/ 2000, consid. 4a et la référence). Force est toutefois de constater que le Tribunal de céans ne saurait entrer en matière sur la question de la valeur probante de ce rapport d'expertise, dans la mesure où la qualité pour agir de la demanderesse ne peut être reconnue et ce pour les motifs qui suivent.</w:t>
      </w:r>
    </w:p>
    <w:p>
      <w:r>
        <w:rPr>
          <w:b/>
        </w:rPr>
        <w:t>E. 8</w:t>
      </w:r>
    </w:p>
    <w:p>
      <w:r>
        <w:t>En vertu du principe de l'unité de la procédure, la qualité pour agir devant les juridictions cantonales, dont les décisions sont sujettes à recours de droit administratif, ne peut être soumise à des conditions différentes à celles qui régissent la qualité pour recourir au sens de l'art. 103 let. a de la loi fédérale d'organisation judiciaire du 16 décembre 1943 (OJ). (ATF 130 V 562 consid. 3.2). Selon l'art. 103 let. a OJ a qualité pour recourir quiconque est atteint par une décision attaquée ou à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Les autorités judiciaires n'entrent en matière que sur les demandes qui sont fondées sur un intérêt suffisant et, en principe, actuel. S'agissant de prétentions découlant du droit fédéral, seule importe la question de savoir s'il y a un intérêt suffisant à obtenir une décision judiciaire (ATF 122 III 279 consid. 3a p. 282 et les références citées).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Ainsi, l'objet d'une demande en justice ne peut porter que sur des questions juridiques actuelles dont les conséquences touchent concrètement le justiciable. La recevabilité d'une action en constatation est admise si le demandeur a un intérêt digne de protection à la constatation immédiate de rapports de droit litigieux et ne peut obtenir en sa faveur un jugement condamnatoire (ATF 119 V 13 , consid. 2a). Or, en l'espèce, la demanderesse déclare elle-même que même si LA MOBILIERE avait écarté l'expertise B___________, il conviendrait de tenir compte du fait qu'elle ne souffre d'aucune atteinte d'ordre psychique ou psychiatrique. Aucun droit à des prestations supplémentaires à celles reçues sur la base de l'expertise E___________ n'aurait ainsi pu, quoi qu'il en soit, lui être reconnu. Force est en conséquence de constater que l'intérêt digne de protection requis pour agir fait défaut.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