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A/2430/2020 vom 2. März 2021</w:t>
      </w:r>
    </w:p>
    <w:p>
      <w:r>
        <w:t>GE Cour de justice, 2021-03-02, FR</w:t>
      </w:r>
    </w:p>
    <w:p>
      <w:r>
        <w:rPr>
          <w:b/>
        </w:rPr>
        <w:t xml:space="preserve">Quelle: </w:t>
      </w:r>
      <w:r>
        <w:t>https://mcp.opencaselaw.ch/entscheid/ge_gerichte_A_2430_2020</w:t>
      </w:r>
    </w:p>
    <w:p>
      <w:r>
        <w:t>FR: GE_GERICHTE A/2430/2020 du 2 mars 2021</w:t>
      </w:r>
    </w:p>
    <w:p>
      <w:r>
        <w:t>IT: GE_GERICHTE A/2430/2020 del 2 marzo 2021</w:t>
      </w:r>
    </w:p>
    <w:p>
      <w:pPr>
        <w:pStyle w:val="Heading2"/>
      </w:pPr>
      <w:r>
        <w:t>Erwägungen</w:t>
      </w:r>
    </w:p>
    <w:p>
      <w:r>
        <w:rPr>
          <w:b/>
        </w:rPr>
        <w:t>E. 29</w:t>
      </w:r>
    </w:p>
    <w:p>
      <w:r>
        <w:t>mai 2020. L'État devrait lui payer la différence avec son nouveau salaire, par application analogique de l'art. 324 al. 1 de la loi fédérale du 30 mars 1911 complétant le Code civil suisse (CO - RS 220). Au jour du dépôt du recours, la différence de salaire due était de CHF 2'328.70 par mois. 33) Le 21 septembre 2020, l'OCE a conclu au rejet du recours. L'annonce par un employé à son employeur qu'il avait trouvé un autre emploi ne pouvait selon les règles de la bonne foi être comprise que comme une démission. Les courriers des 15 mai et 15 juin 2020 prenaient acte de la démission et ne pouvaient constituer des décisions. Aucune référence n'était faite par la loi générale relative au personnel de l'administration cantonale, du pouvoir judiciaire et des établissements publics médicaux du 4 décembre 1997 (LPAC - B 5 05) à l'art. 324 al. 1 CO, de sorte que cette disposition ne pouvait être appliquée à titre supplétif. M. A______ avait été libéré de l'obligation de travailler dans le cadre d'une procédure disciplinaire, vu le risque de collusion. L'incapacité de travail dans laquelle il s'était ensuite trouvé avait eu pour conséquence qu'il n'avait pas été possible de lui demander de réintégrer son poste. Il avait dans le même courrier déclaré avoir repris sa capacité de travail et signé un contrat de travail, de sorte qu'il avait été impossible de lui notifier la fin de sa libération de l'obligation de travailler. 34) Le 26 octobre 2020, M. A______ a répliqué. Le droit au traitement se fondait sur l'art. 10 al. 1 de la loi concernant le traitement et les diverses prestations alloués aux membres du personnel de l'État, du pouvoir judiciaire et des établissements hospitaliers du 21 décembre 1973 (LTrait - B 5 15). L'art. 324 al. 2 CO ne créait pas de prétentions pour lui, mais une incombance de réduire le dommage, et pour l'État le droit de réduire le traitement du salaire gagné par ailleurs. La libération de l'obligation de travailler pouvait être révoquée en tout temps, et en telle hypothèse il aurait pu renoncer à son nouvel engagement. L'OCE n'avait toujours pas notifié de décision de résiliation des rapports de service. 35) Le 27 octobre 2020, les parties ont été informées que la cause était gardée à juger. EN DROIT 1. Le recours a été formé devant la juridiction compétente (art. 132 de la loi sur l'organisation judiciaire du 26 septembre 2010 - LOJ - E 2 05 ; art. 62 al. 1 let. a de la loi sur la procédure administrative du 12 septembre 1985 - LPA - E 5 10). 2) Il y a lieu de déterminer tout d'abord s'il existe une décision susceptible de recours.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b. 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 c.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La notion de décision implique un rapport juridique obligatoire et contraignant entre l'autorité et l'administré (arrêts du Tribunal fédéral 1C_593/2016 du 11 septembre 2017 consid. 2.2 ; 8C_220/2011 du 2 mars 2012 consid. 4.1.2). d. En l'espèce, le recourant a annoncé le 15 mai 2020 à l'OCE qu'il reprendrait une activité à compter du 1 er juin 2020, et lui a réclamé le paiement dès cette date de la différence entre le salaire dû jusqu'à la fin des rapports de service et le nouveau revenu qu'il réaliserait. Le 15 mai 2020, l'OCE a pris note de la démission du recourant et l'a acceptée, relevant que la « demande insolite de compensation du salaire [...] [était] manifestement hors de propos à tout point de vue ». Le 29 mai 2020, le recourant a demandé à l'OCE de reconsidérer sa position, et à défaut de prononcer une décision formelle avec indication des voies et délais de recours, ajoutant que si le courrier du 15 mai 2020 constituait une décision, celui du 29 mai 2020 devrait être traité comme un recours et acheminé à l'autorité compétente. Le 15 juin 2020, l'OCE a maintenu sa position, précisant qu'aucune décision formelle n'avait à être rendue dès lors que le recourant avait démissionné. Le recourant soutient que le courrier du 15 juin 2020 constitue une décision, subsidiairement un refus de décider. L'OCE soutient que ni le courrier du 15 mai 2020 ni celui du 15 juin 2020 ne constituent des décisions. Qu'il s'agisse de l'acceptation de la démission ou du refus matériel de verser au recourant la différence de salaire qu'il réclame, le courrier du 15 mai 2020 produit un effet juridique sur les relations entre le recourant et l'OCE. Il est motivé de manière succincte et satisfait aux critères permettant de retenir qu'il constitue une décision. Il en va de même du courrier de l'OCE du 15 juin 2020 confirmant celui du 15 mai 2020. La question de savoir si le recourant devait recourir contre le courrier du 15 mai 2020 ou s'il pouvait encore recourir contre celui du 15 juin 2020 pourra demeurer indécise, le courrier du 29 mai 2020 du recourant se déclarant explicitement comme un recours, et les écritures du 17 août 2020 pouvant en cette hypothèse être considérées comme un complément accepté par la chambre de céans. L'OCE n'a par ailleurs pas invoqué la tardiveté du recours. Le recours est ainsi recevable. 3) Le litige a pour objet le refus de l'OCE de verser la différence de salaire réclamée par le recourant dès le 1 er juin 2020, au motif que celui-ci aurait démissionné par actes concluants avec effet à cette même date. 4) Selon l'art. 21 LPAC, le fonctionnaire peut mettre fin aux rapports de service en respectant le délai de résiliation (al. 2).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(al. 3). Selon l'art. 22 LPAC, il y a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Selon l'art. 20 LPAC, après le temps d'essai, le délai de résiliation est d'un mois pour la fin d'un mois durant la première année d'activité (al. 2), et de trois mois pour la fin d'un mois par la suite (al. 3). L'art. 44A du règlement d'application de la loi générale relative au personnel de l'administration cantonale, du pouvoir judiciaire et des établissements publics médicaux du 24 février 1999 (RPAC - B 5 05.01) dispose que les art. 336c et 336d CO sont applicables par analogie à la résiliation en temps inopportun. Selon l'art. 336c al. 1 let. b CO, après le temps d'essai, l'employeur ne peut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Selon l'art. 2 de la même disposition, le congé donné pendant une des périodes prévues à l'al. 1 est nul ; si le congé a été donné avant l'une de ces périodes et si le délai de congé n'a pas expiré avant cette période, ce délai est suspendu et ne continue à courir qu'après la fin de la période. Selon l'art. 46A RPAC,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 Selon l'art. 12 LPAC, l'autorité décide de l'affectation du membre du personnel, et peut modifier celle-ci en tout temps en fonction des besoins de l'administration (al. 1). Un changement d'affectation ne peut entraîner une diminution de salaire (al. 2), sauf dans les cas individuels de changement d'affectation intervenant comme alternative à la résiliation des rapports de service au sens de l'art. 21 al. 3 LPAC (al. 3). Selon l'art. 9 RPAC, les membres du personnel engagés à plein temps ne peuvent exercer aucune activité rémunérée sans autorisation du secrétaire général, respectivement du directeur général (al. 1). L'autorisation est refusée lorsque l'activité envisagée est incompatible avec la fonction de l'intéressé ou qu'elle peut porter préjudice à l'accomplissement des devoirs de service (al. 2). Une réduction de traitement peut être opérée lorsque l'activité accessoire empiète notablement sur l'activité professionnelle (al. 3). 5) La LPAC définit la résiliation de la même manière que le droit privé. Il s'agit de l'exercice d'un droit formateur résolutoire, qui éteint un rapport de droit particulier ( ATA/1344/2015 du 15 décembre 2015 consid. 4b). La démission est une déclaration - ou manifestation - de volonté unilatérale sujette à réception. En tant qu'il s'agit de l'exercice d'un acte formateur, la résiliation revêt un caractère univoque, inconditionnel et irrévocable (ATF 128 III 129 consid. 2a = SJ 2002 I 389 ; arrêt du Tribunal fédéral 8C_820/2009 du 28 octobre 2010 consid. 5.2 ; ATA/1344/2015 précité consid. 4b ; Ariane MORIN, in Commentaire romand, Code des obligations I, 2012, n. 28 ad art. 1 CO). Selon des principes de droit privé - applicables à tout le moins par analogie aux résiliations des rapports de service -, si le juge ne parvient pas à déterminer la volonté réelle et commune des parties (art. 18 al. 1 CO)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et les arrêts cités).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(ATF 130 III 417 consid. 3.2, et les arrêts cités). Un courrier de l'employé indiquant « je confirme ma volonté de mettre fin à ma collaboration [...]. Je vous ferai parvenir ma lettre de démission après accord des deux parties : soit à la signature d'un nouveau contrat de travail de ma part, soit selon [vos] besoins [...], mais au plus tard le [...], je quitterai mes fonctions comme convenu. » a été interprété selon le principe de la bonne foi comme l'expression de sa volonté de mettre fin à ses rapports de service au plus tard à une certaine date ( ATA/548/2018 du 5 juin 2018 consid. 6). Un courrier de l'employé intitulé « résiliation des rapports de travail » accompagné du badge d'accès aux locaux et d'un certificat médical d'arrêt de travail a été considéré comme ne pouvant pas être interprété comme une démission avec effet immédiat ( ATA/1028/2019 du 18 juin 2019 consid. 3). 6) En l'espèce, dans le courrier adressé le 12 mai 2020 à l'OCE, le recourant n'indique ni démissionner ni résilier les rapports de travail ou de service, mais qu'ayant été libéré abruptement de son obligation de travailler et rien n'ayant été fait en vue de son reclassement, il s'était vu obligé de signer un contrat de travail pour réduire le dommage pendant une période de libération de l'obligation de travailler, par application analogique de l'art. 324 al. 2 CO. Le recourant ajoute qu'il contesterait la décision de licenciement annoncée, lorsqu'elle lui serait notifiée. Le recourant soutient qu'il n'a jamais démissionné et que son courrier ne pouvait être compris de bonne foi comme une lettre de démission. L'OCE soutient au contraire que le seul sens pouvant être donné au courrier était celui d'une démission. Il y a ainsi lieu de déterminer, compte tenu des circonstances, quelle portée l'OCE pouvait de bonne foi accorder au courrier du 12 mai 2020, et si le recourant doit se laisser opposer cette compréhension. a. Dans la relation de travail, le travailleur s'oblige à travailler au service de l'employeur, et partant à être disponible à cet effet, selon les modalités horaires stipulées par le contrat ou prévues par la loi ou le règlement. En droit privé, l'art. 321a al. 3 CO dispose que pendant la durée du contrat, le travailleur ne doit pas accomplir du travail rémunéré pour un tiers dans la mesure où il lèse son devoir de fidélité et, notamment, fait concurrence à l'employeur. L'art. 9 RPAC soumet l'activité rémunérée pour un tiers à autorisation, et l'exclut lorsqu'elle est incompatible avec la fonction ou peut porter préjudice à l'accomplissement des devoirs de service. L'annonce par le recourant qu'il s'était engagé à travailler à plein temps et pour une durée indéterminée au service d'un tiers pouvait de bonne foi être comprise par l'OCE comme impliquant qu'il ne serait plus disponible à son égard dès le 1 er juin 2020. b. Le recourant objecte à cela que son obligation de travailler était suspendue du fait de l'OCE, et qu'il lui incombait pour sa part de réduire le dommage. L'employeur peut dispenser le travailleur de l'obligation de travailler. En droit privé le salaire reste en principe dû, selon l'art. 324 CO, le travailleur devant cependant imputer ce qu'il a épargné du fait de l'empêchement de travailler ou ce qu'il a gagné en exécutant un autre travail, ou encore le gain auquel il a intentionnellement renoncé. En l'espèce la décision de l'OCE du 8 juillet 2019, ratifiée par arrêté du Conseil d'État du 17 juillet 2019, a libéré le recourant de l'obligation de travailler « et ce jusqu'à nouvel avis », tout en précisant que « cette mesure est sans incidence sur son traitement », et que le recourant « doit cependant se tenir en tout temps à la disposition de son employeur, tout en veillant à prendre des vacances ». Cette formulation exclut sans équivoque que le recourant s'engage auprès d'un tiers aussi longtemps que durent les rapports de service. Elle exclut a fortiori toute obligation pour le recourant de « réduire le dommage », et permet de laisser ouverte la question de l'applicabilité par analogie de l'art. 324 al. 2 CO. Le fait que l'OCE n'ait pas ordonné au recourant de reprendre le travail n'est pas pertinent, étant observé qu'à dater du 28 janvier 2020 celui-ci a été en incapacité de travail pour cause de maladie, et que la reprise du travail a été ordonnée par son médecin pour le 1 er juin 2020, soit la date du début de son activité au service de son nouvel employeur. c. La procédure de reclassement ouverte le 23 septembre 2019 s'est conclue le 8 janvier 2020. Le recourant s'est lui-même montré proactif et a multiplié les démarches en direction de l'État et d'employeurs privés pour retrouver un emploi. L'OCE lui a communiqué de nombreuses offres et a activement soutenu plusieurs de ses postulations, de sorte que le recourant ne saurait être suivi lorsqu'il affirme que la procédure de reclassement a été de pure forme et conduite de manière peu sérieuse. Lorsque le recourant a annoncé le 12 mai 2020 à l'OCE qu'il avait signé un contrat de travail et commencerait à travailler le 1 er juin 2020, à la faveur d'un certificat de son médecin autorisant la reprise du travail, l'OCE pouvait de bonne foi comprendre que les démarches du recourant avaient abouti, et que celui-ci lui communiquait ainsi sa démission. L'OCE pouvait pareillement n'accorder de bonne foi aucune portée à la qualification juridique que le recourant attribuait à son courrier, dès lors que celui-ci ne pouvait ignorer, comme il a été vu plus haut, qu'il devait rester disponible aussi longtemps que duraient les rapports de service, de sorte que la manifestation unilatérale de son indisponibilité emportait forcément celle de sa démission. C'est ainsi à bon droit que l'OCE a considéré que le recourant avait donné sa démission avec effet au 1 er juin 2020, et, aucun salaire n'étant plus dû dès cette date, qu'il a refusé d'entrer en matière sur les prétentions pécuniaires en paiement de la différence de salaire. Le recourant ne peut soutenir de bonne foi avoir ignoré contrevenir à l'arrêté du Conseil d'État du 17 juillet 2019 en s'engageant auprès d'un tiers, et doit se laisser opposer la portée que l'OCE a donnée à son courrier du 12 mai 2020. Entièrement mal fondé, le recours sera rejeté. 7) Vu l'issue du litige, un émolument de CHF 500.-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