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A/2423/2024 vom 8. Dezember 2025</w:t>
      </w:r>
    </w:p>
    <w:p>
      <w:r>
        <w:t>GE Cour de justice, 2025-12-08, FR</w:t>
      </w:r>
    </w:p>
    <w:p>
      <w:r>
        <w:rPr>
          <w:b/>
        </w:rPr>
        <w:t xml:space="preserve">Quelle: </w:t>
      </w:r>
      <w:r>
        <w:t>https://mcp.opencaselaw.ch/entscheid/ge_gerichte_A_2423_2024</w:t>
      </w:r>
    </w:p>
    <w:p>
      <w:r>
        <w:t>FR: GE_GERICHTE A/2423/2024 du 8 décembre 2025</w:t>
      </w:r>
    </w:p>
    <w:p>
      <w:r>
        <w:t>IT: GE_GERICHTE A/2423/2024 del 8 dicembre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Le litige porte sur la conformité au droit de la qualification de dépendante de l'activité exercée par l'appelé en cause en 2019 pour la recourante et des arriérés de cotisations en découlant.</w:t>
      </w:r>
    </w:p>
    <w:p>
      <w:r>
        <w:rPr>
          <w:b/>
        </w:rPr>
        <w:t>E. 3</w:t>
      </w:r>
    </w:p>
    <w:p>
      <w:r>
        <w:t>Il convient préalablement de constater que, si la recourante a sollicité, dans sa réplique, la suspension de la procédure jusqu'à droit connu dans la procédure pénale, elle a ensuite communiqué, le 26 novembre 2024, l’ordonnance pénale du 18 novembre 2024, qu’elle n’a pas indiqué avoir été contestée et qui apparaît dès lors être entrée en force, de sorte que la question de la suspension de la procédure ne se posait dès lors plus.</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4.2</w:t>
      </w:r>
    </w:p>
    <w:p>
      <w:r>
        <w:t>En l’espèce, la recourante a demandé, dans son recours, la production par la CCGC des documents relatifs à la procédure pénale à l'encontre de l’appelé en cause. Elle a ultérieurement produit l’ordonnance pénale du 18 novembre 2024 prononcée à l’encontre de l’appelé en cause, laquelle récapitule les éléments figurant à la procédure pénale. L’apport de la procédure pénale n’apparaît partant pas nécessaire, ni même utile à la résolution du présent litige. Par ailleurs, la recourante a suggéré, lors de l’audience devant la chambre de céans, l’audition de E______. Elle a cependant ensuite produit une attestation de ce dernier, dont le résumé de l’audition figure par ailleurs également dans l’ordonnance pénale du 18 novembre 2024. L’audition de E______ n’apparaît dès lors pas susceptible d’apporter des éléments supplémentaires utiles pour trancher le présent litige. Au vu de ce qui précède, la chambre de céans, qui est en possession des différentes écritures et pièces produites par la recourante et l’intimée et a tenu une audience de comparution personnelle, à la suite de laquelle des pièces supplémentaires ont été produites, dispose d’un dossier complet lui permettant de trancher le litige en toute connaissance de cause. Il ne sera par conséquent pas donné suite aux requêtes d’instruction de la recourante.</w:t>
      </w:r>
    </w:p>
    <w:p>
      <w:r>
        <w:rPr>
          <w:b/>
        </w:rPr>
        <w:t>E. 5</w:t>
      </w:r>
    </w:p>
    <w:p>
      <w:r>
        <w:t>Dans sa réplique, la recourante a soulevé une violation du principe de la bonne foi.</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w:t>
      </w:r>
    </w:p>
    <w:p>
      <w:r>
        <w:rPr>
          <w:b/>
        </w:rPr>
        <w:t>E. 5.2</w:t>
      </w:r>
    </w:p>
    <w:p>
      <w:r>
        <w:t>En l’espèce, la recourante se prévaut du fait que le 31 août 2023, l’intimée avait écrit à l’appelé en cause avoir appris qu’il n’exerçait plus d’activité indépendante, ce dont il découlait a contrario qu’il était considéré auparavant comme personne de condition indépendante, soit également en 2019. Il découle cependant précisément de ce raisonnement a contrario par rapport à un courrier adressé à l’appelé en cause et non à elle que la recourante ne se prévaut pas de renseignements ou d’assurances qui lui aurait été donnés par l’intimée quant au statut de l’appelé en cause, de sorte que cet élément ne lui permet pas de se prévaloir du principe de la bonne foi pour obtenir la reconnaissance du statut d’indépendant de l’appelé en cause. La recourante se prévaut également de la taxation comme indépendant de l’appelé en cause de 2019 à 2021. Cependant, le statut de l’appelé en cause pour sa taxation fiscale concerne un autre domaine du droit qui relève d’une autre législation et d’une autre autorité compétente et ne peut lier l’intimée. Il sera au demeurant relevé que les taxations invoquées sont des taxations d’office. La recourante ne peut dès lors rien déduire des taxations de l’appelé en cause dans la présente procédure. La recourante se prévaut encore du fait que l’intimée n’avait demandé le paiement des cotisations litigieuses qu’une fois qu’elle avait réalisé que l’appelé en cause les avaient trompées, elle et la recourante. Ce faisant, cette dernière ne soulève pas de renseignement ou d’assurance qui lui aurait été donné par l’intimée concernant le statut de l’appelé en cause, ni même de comportement susceptible d’éveiller chez elle une attente ou une espérance légitime, dont elle pourrait se prévaloir en vertu du principe de la bonne foi. Au vu de ce qui précède, la recourante ne peut se prévaloir du principe de la bonne foi pour obtenir la qualification d’indépendant de l’appelé en cause dans le cadre de ses activités pour elle en 2019.</w:t>
      </w:r>
    </w:p>
    <w:p>
      <w:r>
        <w:rPr>
          <w:b/>
        </w:rPr>
        <w:t>E. 6</w:t>
      </w:r>
    </w:p>
    <w:p>
      <w:r>
        <w:t>La recourante affirme que l’appelé en cause devrait être qualifié d’indépendant.</w:t>
      </w:r>
    </w:p>
    <w:p>
      <w:r>
        <w:rPr>
          <w:b/>
        </w:rPr>
        <w:t>E. 6.1</w:t>
      </w:r>
    </w:p>
    <w:p>
      <w:r>
        <w:t>À teneur de l’art. 1a al. 1 let. a LAVS, sont assurées conformément à la LAVS les personnes physiques domiciliées en Suisse. Conformément à l’art. 3 al. 1 LAVS, les assurés sont tenus de payer des cotisations tant qu’ils exercent une activité lucrative.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et art. 6 ss du règlement sur l’assurance-vieillesse et survivants, du 31 octobre 1947 - RAVS - RS 831.101).</w:t>
      </w:r>
    </w:p>
    <w:p>
      <w:r>
        <w:rPr>
          <w:b/>
        </w:rPr>
        <w:t>E. 6.2</w:t>
      </w:r>
    </w:p>
    <w:p>
      <w:r>
        <w:t>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À teneur de l’art 10 LPGA, est réputé salarié celui qui fournit un travail dépendant et qui reçoit pour ce travail un salaire déterminant au sens des lois spéciales.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w:t>
      </w:r>
    </w:p>
    <w:p>
      <w:r>
        <w:rPr>
          <w:b/>
        </w:rPr>
        <w:t>E. 6.3</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9C_423/2021 du 1 er avril 2022 consid. 6.1 ; 9C_796/2014 du 27 avril 2015 consid. 3.2). À l'inverse,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et les références ; arrêts du Tribunal fédéral 9C_423/2021 précité consid. 6.1 ; H 217/06 du 30 août 2007 consid. 2.1.1).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 arrêt du Tribunal fédéral 9C_423/2021 précité consid. 6.1). Il n’existe toutefois aucune présomption juridique en faveur de l’activité salariée ou indépendante (Office fédéral des assurances sociales [ci-après : OFAS], Directives sur le salaire déterminant dans l’AVS, AI et APG [ci-après : DSD], état au 1 er janvier 2024, n. 1021). La notion de dépendance englobe les rapports créés par un contrat de travail, mais elle les déborde largement (Pierre-Yves GREBER/Jean-Louis DUC/Gustavo SCARTAZZINI, Commentaire des art. 1 à 16 de la loi fédérale sur l’assurance-vieillesse et survivants, 1997, n. 94 ad art. 4 et les références). Il peut en effet arriver qu’un tribunal civil qualifie une relation juridique de mandat ou de contrat d’entreprise, alors que l’assureur ou le juge social la considère comme un cas d’activité lucrative dépendante (ATF 97 V 134 consid. 3 ; Jean-Philippe DUNAND, in Anne-Sylvie DUPONT/Margit MOSER-SZELESS [éd.], Commentaire romand de la LPGA, 2 e éd., 2025,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(DSD, n. 1020). Un autre élément permettant de qualifier la rétribution compte tenu du lien de dépendance de celui qui la perçoit est le fait qu’il s’agit d’une collaboration régulière, autrement dit que l’employé est régulièrement tenu de fournir ses prestations au même employeur (arrêts du Tribunal fédéral 9C_1062/2010 du 5 juillet 2011 consid. 7.2 ; H 334/03 du 10 janvier 2005 consid. 6.2.1). En outre, la possibilité pour le travailleur d’organiser son horaire de travail ne signifie pas nécessairement qu’il s’agit d’une activité indépendante (arrêt du Tribunal fédéral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 ATAS/471/2023 du 22 juin 2023 consid. 5.2 et la référence citée). Les indices en ce sens sont l’existence d’un plan de travail déterminé, la nécessité de faire rapport sur l’état des travaux, ainsi que la dépendance de l’infrastructure sur le lieu de travail (RCC 1986 p. 126 consid. 2b ;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6.4</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arrêt du Tribunal fédéral 9C_782/2014 du 25 août 2015 consid. 6.1.1 ; ATAS/160/2023 du 14 mars 2023 consid. 7.2.2 et les références citées). Entre l'entrepreneur principal et le sous-traitant, la relation est régie par un contrat d'entreprise au sens de l'art. 363 de la loi fédérale du 30 mars 1911 complétant le Code civil suisse (CO, Code des obligations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ATAS/160/2023 précité consid. 7.2.2 et la référence citée). Se référant à la doctrine, le Tribunal fédéral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9C_162/2024 du 31 juillet 2024 consid. 3.2 ; 8C_484/2010 du 12 mai 2011 consid. 3.3 ; 9C_1062/2010 du 5 juillet 2011 consid. 7.5, 8C_367/2011 du 12 avril 2012 consid. 2.4 ; 8C_597/2011 du 10 mai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 ATAS/679/2024 du 4 septembre 2024 consid. 6.2). Dans un arrêt du 27 février 1970, le Tribunal fédéral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Tribunal fédéral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à titre préalable, il convient de constater que, si l'appelé en cause a présenté auprès de la recourante une attestation d'affiliation en tant qu'indépendant – attestant de son statut d’indépendant en 2018 et non en 2019 –, qui s'est ensuite révélée être un faux et a abouti à la condamnation pénale de l’appelé en cause, et si la recourante a souligné que ce dernier proposait ses services en tant que peintre indépendant, ce que E______ a attesté, ce n'est pas la volonté des parties qui est déterminante, mais bien les circonstances économiques. Il convient donc d’examiner celles-ci. En l'occurrence, l'appelé en cause a œuvré pour la recourante en tant que sous‑traitant, ce qui n’est pas contesté et ce que confirment encore les factures aux maîtres de l’ouvrage principaux versées à la procédure par la recourante le 13 octobre 2025, en relation avec les factures de C______. De ce fait et conformément à la jurisprudence susmentionnée, il doit être considéré comme exerçant une activité dépendante, à moins qu'il ne soit prouvé que les caractéristiques de la libre entreprise dominent manifestement et que l'on peut admettre, d'après les circonstances, qu’il traitait sur un pied d'égalité avec la recourante. Or, selon les déclarations de la recourante lors de l'audience devant la chambre de céans, elle n'a pas conclu de contrat écrit avec l'appelé en cause en 2019 et rien n'indique que la recourante et l'appelé en cause auraient alors convenu que ce dernier répondrait également des défauts envers les maîtres de l'ouvrage principaux. En l'absence de convention contraire, l'appelé en cause répondait ainsi des défauts uniquement à l'égard de l’entrepreneuse principale, soit la recourante, avec laquelle il ne se trouvait donc pas sur un pied d'égalité. Par ailleurs, il ressort du dossier que l'appelé en cause a effectué des travaux de peinture, entre mai et novembre 2019, soit pendant sept mois, sur quinze sites différents pour un total de CHF 85'900.-. Au contraire de ce qu’affirme la recourante dans sa dernière écriture, cet élément constitue non pas un indice d’activité indépendante mais un indice d’activité dépendante. En effet, cela dénote une dépendance économique, en 2019, de l'appelé en cause envers la recourante, puisque, si la recourante décidait de mettre un terme à leur collaboration, l’appelé en cause se retrouvait dans une situation semblable à celle d'un salarié qui perdait son emploi, ceci d’autant plus qu’il n’est pas établi, au niveau de la vraisemblance prépondérante, que l’appelé en cause effectuait des travaux pour d’autres clients. En effet, l’affirmation de E______ en ce sens ne suffit pas à démontrer l’existence d’une activité pour des tiers, même en corrélation avec le fait que tous les numéros de factures ne se suivent pas. Sur ce point, il sera relevé, d’une part, que les numéros de factures présentent des incohérences, la facture n o 1______ datant du 13 septembre 2019 portant un numéro postérieur tout étant antérieure aux factures n os 2______ à 3______ du 21 septembre 2019, ce qui conduit à douter qu’il puisse être déduit un quelconque élément desdits numéros et, d’autre part, que, même à admettre que ces numéros puissent être pris en compte, la plupart des factures ont des numéros qui se suivent (factures n os 4______ à 5______, 6______ à 7______, 8______et 9______à 10______), ce qui tendrait plutôt à confirmer la dépendance économique. En outre, contrairement à ce qu'affirme la recourante, il ne ressort pas du dossier que l'appelé en cause avait des employés. En effet, conformément à l'ordonnance pénale du 18 novembre 2024, l'associé gérant président de la recourante à l'époque des faits, en 2019, F______, a déclaré dans le cadre de la procédure pénale que la personne que la recourante désigne dans la présente procédure comme un employé, soit E______, était un autre sous-traitant, par l'intermédiaire duquel elle avait été mise en contact avec l'appelé en cause, ce que celui‑là a également confirmé durant la procédure pénale. L’attestation de E______ du 6 octobre 2025 produite devant la chambre de céans va d’ailleurs également dans le même sens, ce dernier parlant d’une mise en relation avec la recourante mais non de rapports de travail entre lui-même et l’appelé en cause. Il apparaît donc que E______ n'était pas un employé de l'appelé en cause, quand bien même il a, à certaines occasions, réceptionné en espèces les montants dus à ce dernier conformément aux factures. Finalement, il ressort des factures de l’appelé en cause que ce dernier travaillait à certaines occasions sur devis et à d’autres occasions sur la base de bons de régie ou d'entretiens avec la recourante, ce qui ne permet pas de démontrer l’existence d’une égalité entre les deux parties, au contraire, puisqu’un travail sur la base d’entretiens pourrait plutôt tendre à démontrer l’existence d’instructions. Pour le reste, si la recourante affirme que l’appelé en cause utilisait ses propres locaux commerciaux, il convient de constater que la raison individuelle C______ n’était pas inscrite au registre du commerce et que rien ne démontre que l’adresse utilisée sur les factures correspondraient à des locaux commerciaux, étant relevé que, dans l’attestation qu’il a falsifiée, l’appelé en cause a indiqué l’adresse du 86, chemin des Communes-Réunies sans indiquer qu’il s’agirait de l’adresse de sa raison individuelle, ce qui pourrait dénoter qu’il s’agissait de son domicile privé d’alors. Il n’est dès lors pas établi au niveau de la vraisemblance prépondérante que l’appelé en cause avait ses propres locaux commerciaux. Au vu de ce qui précède, il ne peut être retenu que les caractéristiques de la libre entreprise dominaient manifestement et il apparaît que l'appelé en cause ne traitait pas sur un pied d'égalité avec la recourante. L'intimée était par conséquent fondée à retenir que l'appelé en cause avait exercé une activité dépendante pour la recourante en 2019 et à réclamer le versement des cotisations sur le montant de CHF 85'900.- – non contesté – découlant de cette qualification. Il sera au surplus relevé que l’intimée a informé l’appelé en cause et la recourante que cette dernière pouvait se retourner contre le premier pour obtenir le remboursement des cotisations à la charge de l’employé.</w:t>
      </w:r>
    </w:p>
    <w:p>
      <w:r>
        <w:rPr>
          <w:b/>
        </w:rPr>
        <w:t>E. 8</w:t>
      </w:r>
    </w:p>
    <w:p>
      <w:r>
        <w:t>Toutefois, dans sa décision sur opposition, l’intimée a partiellement admis l'opposition de la société, a ramené la somme retenue de CHF 93'434.- perçue à titre de paiement pour une prestation salariale à CHF 85'900.-, l'a rejetée pour le surplus et a maintenu sa décision de reprises du 15 décembre 2023 pour l'année 2019. Or, étant donné qu’elle a ramené la somme de prestations salariales à l’appelé en cause soumises à cotisations à CHF 85'900.-, l’intimée aurait dû uniquement maintenir sa décision du 15 décembre 2023 pour l’année 2019, en relation avec lesdites prestations salariales, à concurrence de la masse salariale ramenée à CHF 85'900.-, étant relevé qu’il devra en conséquence être procédé à un nouveau calcul des cotisations sur ce montant.</w:t>
      </w:r>
    </w:p>
    <w:p>
      <w:r>
        <w:rPr>
          <w:b/>
        </w:rPr>
        <w:t>E. 9</w:t>
      </w:r>
    </w:p>
    <w:p>
      <w:r>
        <w:t>Dans ces circonstances et moyennant l’interprétation de son dispositif conformément au considérant qui précède, la décision sur opposition de l’intimée est conforme au droit et le recours à son encontre, mal fondé, sera rejeté.</w:t>
      </w:r>
    </w:p>
    <w:p>
      <w:r>
        <w:rPr>
          <w:b/>
        </w:rPr>
        <w:t>E. 10.1</w:t>
      </w:r>
    </w:p>
    <w:p>
      <w:r>
        <w:t>Les assureurs sociaux qui obtiennent gain de cause devant une juridiction de première instance n'ont en principe pas le droit à une indemnité de dépens (ATF 126 V 149 consid. 4).</w:t>
      </w:r>
    </w:p>
    <w:p>
      <w:r>
        <w:rPr>
          <w:b/>
        </w:rPr>
        <w:t>E. 10.2</w:t>
      </w:r>
    </w:p>
    <w:p>
      <w:r>
        <w:t>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