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A/2407/2010 vom 16. September 2010</w:t>
      </w:r>
    </w:p>
    <w:p>
      <w:r>
        <w:t>GE Cour de justice, 2010-09-16, FR</w:t>
      </w:r>
    </w:p>
    <w:p>
      <w:r>
        <w:rPr>
          <w:b/>
        </w:rPr>
        <w:t xml:space="preserve">Quelle: </w:t>
      </w:r>
      <w:r>
        <w:t>https://mcp.opencaselaw.ch/entscheid/ge_gerichte_A_2407_2010</w:t>
      </w:r>
    </w:p>
    <w:p>
      <w:r>
        <w:t>FR: GE_GERICHTE A/2407/2010 du 16 septembre 2010</w:t>
      </w:r>
    </w:p>
    <w:p>
      <w:r>
        <w:t>IT: GE_GERICHTE A/2407/2010 del 16 settembre 2010</w:t>
      </w:r>
    </w:p>
    <w:p>
      <w:pPr>
        <w:pStyle w:val="Heading2"/>
      </w:pPr>
      <w:r>
        <w:t>Regeste</w:t>
      </w:r>
    </w:p>
    <w:p>
      <w:r>
        <w:t>Minimum vital. | Plainte devenue sans objet en cours de procédure du fait que l'Office des poursuites a levé la mesure lorsque la série a été convertie. | LP.91; LP.93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plainte a été formée en temps utile auprès de l’autorité compétente contre une mesure sujette à plainte par une personne ayant qualité pour agir par cette voie (art. 17 LP ; art. 10 al. 1 et 13 LaLP ; art. 56 R al. 3 LOJ). Elle est donc recevable.</w:t>
      </w:r>
    </w:p>
    <w:p>
      <w:r>
        <w:rPr>
          <w:b/>
        </w:rPr>
        <w:t>E. 2</w:t>
      </w:r>
    </w:p>
    <w:p>
      <w:r>
        <w:t>Raye la cause du rôle. Siégeant : M. Philippe GUNTZ, président ; M. Didier BROSSET et M. Olivier WEHRLI,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