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A/2395/2022 vom 21. März 2023</w:t>
      </w:r>
    </w:p>
    <w:p>
      <w:r>
        <w:t>GE Cour de justice, 2023-03-21, FR</w:t>
      </w:r>
    </w:p>
    <w:p>
      <w:r>
        <w:rPr>
          <w:b/>
        </w:rPr>
        <w:t xml:space="preserve">Quelle: </w:t>
      </w:r>
      <w:r>
        <w:t>https://mcp.opencaselaw.ch/entscheid/ge_gerichte_A_2395_2022</w:t>
      </w:r>
    </w:p>
    <w:p>
      <w:r>
        <w:t>FR: GE_GERICHTE A/2395/2022 du 21 mars 2023</w:t>
      </w:r>
    </w:p>
    <w:p>
      <w:r>
        <w:t>IT: GE_GERICHTE A/2395/2022 del 21 marzo 2023</w:t>
      </w:r>
    </w:p>
    <w:p>
      <w:pPr>
        <w:pStyle w:val="Heading2"/>
      </w:pPr>
      <w:r>
        <w:t>Regeste</w:t>
      </w:r>
    </w:p>
    <w:p>
      <w:r>
        <w:t>QUALITÉ POUR RECOURIR;INTÉRÊT DIGNE DE PROTECTION;INTÉRÊT ACTUEL;ASSOCIATION;LIBERTÉ DE CONSCIENCE ET DE CROYANCE;USAGE COMMUN ACCRU;DOMAINE PUBLIC;ACTE RELIGIEUX;LIBERTÉ DE CULTE;ATTEINTE À UN DROIT CONSTITUTIONNEL;LÉGALITÉ;INTÉRÊT PUBLIC;PROPORTIONNALITÉ | Recours contre le refus d'autoriser une procession de la Fête-Dieu réunissant 101 à 300 personnes pendant environ une heure un dimanche matin sur le domaine public. Renonciation à l'exigence d'intérêt actuel. La paroisse recourante est une association qui peut se prévaloir de la liberté religieuse et est touchée dans son intérêt digne de protection propre. Le refus restreint la liberté religieuse des recourants. La restriction repose sur une base légale, l'art. 6 al. 1 et 2 LLE. La protection des droits d'autrui en la forme du droit de ceux-ci à ne pas être confrontés à la procession, droit que ne comprend pas la liberté religieuse, n'est pas un intérêt public susceptible de justifier la restriction. L'intérêt à la neutralité cultuelle du domaine public se heurte à la liberté religieuse garantie constitutionnellement et conventionnellement et ne constitue pas un intérêt public susceptible de justifier la restriction. L'intérêt à la paix et à la tranquillité religieuse constitue un intérêt public susceptible de justifier la restriction, mais l'autorité intimée n'explique pas en quoi la procession litigieuse représenterait concrètement un risque ou un danger pour celles-ci. Intérêt public douteux, mais question laissée indécise. Violation du principe de la proportionnalité, tant la nécessité que la proportionnalité au sens étroit. Recours admis et décision annulée. | LPA.60; CEDH.9; Cst.15; Cst.35; Cst.36; LLE.6; Cst-GE.3</w:t>
      </w:r>
    </w:p>
    <w:p>
      <w:pPr>
        <w:pStyle w:val="Heading2"/>
      </w:pPr>
      <w:r>
        <w:t>Erwägungen</w:t>
      </w:r>
    </w:p>
    <w:p>
      <w:r>
        <w:rPr>
          <w:b/>
        </w:rPr>
        <w:t>E. 49</w:t>
      </w:r>
    </w:p>
    <w:p>
      <w:r>
        <w:t>I 152 consid. 4d). Le Tribunal fédéral a confirmé cette jurisprudence en 1982 : indépendamment de l'existence d'une loi cantonale, les cantons doivent autoriser le déroulement d'une procession lorsqu'une telle manifestation n'est pas de nature à gêner sérieusement la circulation ou à troubler la paix confessionnelle et l'ordre public (ATF 108 Ia 41 consid. 2a). Dans cet arrêt, le Tribunal fédéral a retenu que l'autorisation d'organiser une procession des Rameaux – déplacement en chantant de l'angle de l'avenue I______ jusqu'au ______, avenue J______ à Genève pour une durée d'une dizaine de minutes un dimanche matin –, acte cultuel collectif, prescrit expressément par la liturgie, n'était pas de nature à compromettre la paix confessionnelle et l'ordre public (ATF 108 Ia 41 consid. 3). Dans son arrêt de contrôle abstrait de certaines dispositions de la LLE, le Tribunal fédéral a considéré qu'il était difficile d'identifier quel intérêt public pourrait être à la base de la restriction à la liberté religieuse consacrée par l'art. 6 al. 1 et 2 LLE, tels qu'initialement rédigés, prévoyant alors une interdiction de principe des manifestations cultuelles sur le domaine public. Dans le contexte moderne actuel, s'il existait encore, même dans un État démocratique et moderne comme la Suisse, la possibilité qu'une manifestation religieuse cultuelle particulière puisse causer des troubles à l'ordre public pour des raisons liées aux circonstances dans lesquelles elle se déroulait ou au type de croyance religieuse qui en était à la base, il n'apparaissait pas que l'organisation d'une manifestation religieuse cultuelle sur le domaine public puisse de manière générale causer en tant que telle des troubles à l'ordre public. L'organisation d'une telle manifestation était de toute manière soumise à autorisation aux conditions prévues par la LMDPu. L'intérêt public poursuivi par l'art. 6 al. 1 et 2 LLE ne semblait a priori pas pouvoir trouver son fondement dans le principe de la laïcité de l'État : on peinait à voir en quoi la neutralité religieuse et la laïcité de l'État seraient remises en question par l'organisation d'une manifestation cultuelle religieuse sur le domaine public par des particuliers (ou par des membres d'une entité confessionnelle). Le fait qu'une telle manifestation se déroule sur le domaine public (un parc, une route, etc.) ne signifiait de toute évidence pas que l'État y serait en quelque sorte « associé » et mettrait ainsi en danger sa laïcité, respectivement qu'il soutiendrait ou approuverait la croyance en question. Le Tribunal fédéral a ainsi conclu que la restriction à la liberté de conscience et de croyance apparaissait difficilement compatible avec l'art. 36 al. 2 Cst. Il a néanmoins finalement laissé la question indécise, au vu du contexte particulier genevois, fortement marqué par le principe de la laïcité de l'État (ATF148 I 160 consid. 11.4). Dans les deux arrêts de la chambre administrative concernant les refus du DSPS d'entrer en matière sur la demande d’autorisation visant, respectivement, une procession et d’un baptême dans le lac, cette dernière a retenu que les restrictions à la liberté de conscience et de croyance répondaient à deux intérêts publics, soit, d'une part, l'intérêt général à la paix religieuse, à la neutralité confessionnelle et à la préservation d'un climat de tolérance et de respect mutuel ainsi que, d'autre part, la protection des droits d'autrui et le respect de l'ordre juridique, compte tenu du refus des requérants de signer la déclaration d’engagement à respecter les valeurs et règles découlant des droits fondamentaux protégés par l'ordre juridique suisse ( ATA/1279/2022 précité consid. 16 ; ATA/1277/2022 consid. 16). g. En l'espèce, dans la décision litigieuse, l'autorité intimée a considéré que la restriction était justifiée par deux intérêts publics, soit d'une part la garantie de la neutralité cultuelle du domaine public, avec pour but le maintien de la paix religieuse, et la protection des droits et libertés d'autrui. Dans sa réponse, elle a explicité ces deux intérêts. Le premier était l'intérêt public à la tranquillité religieuse, l'État ayant une obligation active de créer un climat de tolérance et de respect mutuel au sein de la population, obligation que Genève avait respectée en neutralisant l'espace public pour éviter les tensions inhérentes aux croyances et convictions. En relation avec le second, la pratique d'un culte pouvait être bornée par la protection des droits et libertés d'autrui et donc par le droit des tiers à ne pas se voir imposer sans nécessité l'exposition à une pratique cultuelle à laquelle ils n'avaient pas sollicité d'être confrontés et susceptible de les heurter. S'agissant de ce dernier intérêt, l'autorité intimée indique qu'il vise la protection du sentiment religieux ou de l'intimité de croyance des tiers, d'autant plus importante que la procession en cause présenterait une « violence symbolique »particulièrement ostentatoire et agressive. Elle se contente toutefois de cette affirmation, sans expliquer en quoi ladite procession revêtirait de telles caractéristiques, que l'on ne perçoit en l'occurrence pas. L'autorité intimée fait uniquement valoir le droit des autres usagers du domaine public à ne pas être confrontés à une procession. Ce faisant, elle invoque la liberté de conscience et de croyance de ces derniers. Or, conformément à la jurisprudence de la CourEDH et du Tribunal fédéral susmentionnée, la liberté de conscience et de croyance n'englobe pas de droit à ne pas être confronté aux actes religieux d’autrui ou à des convictions religieuses ou philosophiques différentes. Tel qu'invoqué par l'autorité intimée, l'intérêt à la protection des droits d'autrui ne constitue ainsi pas un intérêt susceptible de justifier la restriction à la liberté de conscience et de croyance ici examinée. Pour ce qui est du premier intérêt soulevé, soit celui à la paix et à la tranquillité religieuse par le biais de la neutralité cultuelle de l'espace public, il convient préalablement de constater que ladite neutralité ne découle pas en tant que telle du principe de laïcité tel que prévu dans la Cst-GE, qui concerne la neutralité de l'État et tous ses actes et acteurs. Or, une manifestation cultuelle sur le domaine public ne constitue pas un acte de l'État. En effet, comme l'a constaté le Tribunal fédéral, le fait qu'une telle manifestation se déroule sur le domaine public ne signifie pas que l'État y serait en quelque sorte « associé » et mettrait ainsi en danger sa laïcité, respectivement qu'il soutiendrait ou approuverait la croyance en question (ATF 148 I 160 consid. 11.4). La neutralité cultuelle du domaine public constitue donc un principe propre à la LLE et à son art. 6. Néanmoins, la neutralité cultuelle du domaine public n'est pas conforme à la liberté de conscience et de croyance protégée aux niveaux conventionnels et constitutionnels, laquelle prévoit que la liberté, y compris de culte, peut s'exercer collectivement et en public, et donc, conditionnellement, sur le domaine public. À noter que, même si cette question peut en l'espèce demeurer indécise, l'on pourrait même se demander si la neutralité cultuelle du domaine public prévue par l'art. 6 LLE est conforme à la laïcité telle que souhaitée par le constituant genevois, soit une laïcité d'ouverture et de tolérance, et non une laïcité militante, expressément rejetée par celui-ci, comme la chambre de céans a déjà été amenée à le constater ( ATA/1279/2022 précité consid. 13a ; ATA/1277/2022 consid. 13a). L'intérêt public à la neutralité cultuelle du domaine public se heurte ainsi à la liberté de conscience et de croyance garantie constitutionnellement et conventionnellement et ne constitue pas à lui seul et en lui-même un intérêt propre à justifier la restriction à la liberté religieuse des recourants. La paix et la tranquillité religieuses constituent des motifs susceptibles de justifier une restriction à la liberté religieuse, correspondant même précisément à l'une des fonctions de la liberté de conscience et de croyance elle-même. Encore faut-il que dans le cas d'espèce, la manifestation religieuse cultuelle en cause fasse craindre une atteinte auxdites paix et tranquillité, en raison des circonstances ou du type de croyance qui en est à la base. Or, l'autorité intimée se contente de qualifier la procession d'ouvertement ostentatoire et de force agressive, du fait de l'exposition symbolique du sang et du corps du Christ, mais n'explique pas concrètement en quoi la procession de la Fête-Dieu en cause, destinée à réunir entre 101 et 300 personnes pendant une heure pour un parcours dans quatre rue des H______, représenterait un risque pour la tranquillité et la paix religieuses, dans la société actuelle marquée par le pluralisme religieux relevé par le Tribunal fédéral (ATF 148 I 160 consid. 11). Il n'apparaît au contraire pas qu'elle revêtirait un caractère provocateur ou qu'elle interviendrait dans un contexte de tensions religieuses particulières faisant que, même avec son ampleur restreinte, elle constituerait un risque pour la paix religieuse. L'existence d'un intérêt public à la restriction litigieuse n'est dès lors pas évident. Cette question peut cependant demeurer indécise, au vu de ce qui suit. 8) La restriction querellée, pour être admissible, doit répondre au principe de la proportionnalité.![endif]&gt;![if&gt; a. Le principe de proportionnalité ancré à l’art. 36 al. 3 Cst. exige que la mesure envisagée soit apte à produire les résultats d'intérêt public escomptés (règle de l'aptitude) et que ceux-ci ne puissent être atteints par une mesure moins incisive (règle de la nécessité). En outre, elle interdit toute limitation allant au-delà du but visé et postule un rapport raisonnable entre celui-ci et les intérêts publics ou privés compromis (principe de la proportionnalité au sens étroit, impliquant une pesée des intérêts ; ATF 148 I 160 consid. 7.10 ; 140 I 218 consid. 6.7.1). La restriction ne doit pas être plus grave que nécessaire d’un point de vue objectif, spatial, temporel et personnel. Les intérêts antagonistes privés et publics doivent être évalués et pondérés en considération des circonstances de l’espèce et du contexte social actuel (ATF 142 I 49 = JdT 2016 I 67 consid. 9.1 et les arrêts cités). Selon l’art. 9 § 2 CEDH, toute ingérence dans l’exercice du droit à la liberté de religion doit être nécessaire dans une société démocratique. Une ingérence est considérée comme telle pour atteindre un but légitime si elle répond à un besoin social impérieux et, en particulier, si elle est proportionnée au but légitime poursuivi (ACEDH zzettin Doan et autres c. Turquie précité, § 105).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(ACEDH zzettin Doan et autres c. Turquie précité, § 106, et Kokkinakis c. Grèce précité, § 33). b. La CourEDH accorde une importance particulière au rôle du décideur national, jouissant d’une légitimité démocratique directe et mieux placé pour se prononcer sur les besoins et contextes locaux, lorsque des questions de politique générale sont en jeu, sur lesquelles de profondes divergences peuvent raisonnablement exister dans un État démocratique. Tel est en particulier le cas lorsque ces questions concernent les rapports entre l’État et les religions. Vu la diversité des approches nationales observées sur le port de symboles religieux dans les établissements d’enseignement, il n’est pas possible de discerner à travers l’Europe une conception uniforme de la signification de la religion dans la société et le sens ou l’impact des actes correspondant à l’expression publique d’une conviction religieuse ne sont pas les mêmes suivant les époques et les contextes (ACEDH S.A.S. précité, § 129 s et les références citées). Pour délimiter l’ampleur de la marge d’appréciation devant être, dans une certaine mesure, laissée à l’État concerné, la CourEDH doit tenir compte de l’enjeu, à savoir la protection des droits et libertés d’autrui, les impératifs de l’ordre public, la nécessité de maintenir la paix civile et un véritable pluralisme religieux, indispensable pour la survie d’une société démocratique (ACEDH Leyla Sahin c. Turquie précité, § 109 s). c. Dans le cadre du contrôle abstrait de l'art. 6 al. 1 et 2 LLE, dans leur teneur initiale, le Tribunal fédéral a conclu que la restriction était contraire au principe de la proportionnalité. À retenir l'intérêt à l'ordre et la sécurité publics, l'interdiction n'était pas nécessaire à atteindre le but recherché, vu la LMDPu de toute manière applicable. Si le but était la sauvegarde de la laïcité de l'État, l'interdiction de principe prévue – même assortie d'exceptions – n'était pas proportionnelle au sens étroit : elle constituait une limitation tellement grave de la liberté de conscience et de croyance des citoyens qu'elle était sans commune mesure avec ledit but, et ce même dans le contexte fortement laïque prévalant à Genève (ATF 148 I 160 consid. 11.5). Le Tribunal fédéral a dès lors annulé la condition de « à titre exceptionnel » de l'art. 6 al. 2 LLE, soulignant que même ainsi, la norme devrait être appliquée dans chaque cas concret de manière conforme à l'art. 36 Cst., faute de quoi son application pourrait se révéler contraire à la Constitution (ATF 148 I 160 consid. 11.6 ;). Dans les deux arrêts relatifs à la procession de la Fête-Dieu et au baptême, la chambre administrative a retenu que les restrictions à la liberté de conscience et de croyance étaient conformes au principe de la proportionnalité. Dans ces deux cas, les refus d'autorisation reposaient toutefois non pas sur l'art. 6 al. 1 et 2 LLE directement, mais sur l'absence de signature, par les deux organisations religieuses, de la déclaration d'engagement conformément aux art. 4 al. 2 LLE ainsi que 3 et 4 RLE. Les restrictions étaient importantes mais découlaient des refus de signer la déclaration d'engagement, laquelle ne constituait qu'un rappel des valeurs et règles découlant des droits fondamentaux protégés par l'ordre juridique suisse, cette condition favorisant le plein exercice de la liberté et la diversité religieuse. L'entrave subie n'allait pas au-delà de ce qui était nécessaire à la réalisation de l'intérêt poursuivi, cardinal, et il ne tenait qu'aux communautés religieuses concernées de signer et respecter la déclaration pour réduire l'atteinte subie ( ATA/1279/2022 précité consid. 17 ; ATA/1277/2022 consid. 17). d. En l'espèce, à admettre que la restriction litigieuse soit justifiée par l'intérêt public à la paix et à la tranquillité religieuses, le refus d'autorisation est une mesure apte à garantir le maintien desdites paix et tranquillité. Sous l'angle de la nécessité, il convient d'examiner si la restriction à la liberté religieuse des recourants est nécessaire à la préservation de l'intérêt public à la paix et à la tranquillité religieuse. Il ne s'agit pas d'examiner si le domaine public est nécessaire à l’accomplissement de la procession en cause et donc la nécessité de la demande des recourants, comme l'argumente l'autorité intimée. Il s'agit au contraire d'analyser si la restriction à la liberté religieuse est nécessaire à l'intérêt public poursuivi et, donc, la nécessité de l'intervention de l'autorité. Par son raisonnement, l'autorité intimée s’immisce, à tort, dans l’appréciation des recourants quant à la manière d’exprimer leur croyance, alors qu'il n’appartient pas à l’État, conformément à la jurisprudence susmentionnée, d’apprécier la légitimité des croyances religieuses ni les modalités d’expression de celles-ci ( ATA/1279/2022 précité consid. 13d ; ATA/1277/2022 consid. 13d). Or, la procession litigieuse était destinée à déambuler silencieusement sur le trottoir uniquement, un dimanche en fin de matinée et pendant une heure environ, avec 101 à 300 participants, dans quatre rues, avec départ et arrivée à l'Église A______. Il s'agissait d'une manifestation d'envergure restreinte dont on ne voit pas qu'elle soit de nature à porter atteinte à la paix religieuse. Le seul fait que le Saint-Sacrement soit placé dans l'ostensoir porté par le recourant en tête de cortège ne suffit pas à la qualifier de violente et agressive, selon les termes utilisés par l'autorité intimée, et à consacrer une menace à la paix et à la sérénité religieuse. La restriction à la liberté de conscience et de croyance n'est par conséquent pas nécessaire à la protection de l'intérêt poursuivi. Elle n'est d'ailleurs pas non plus proportionnée au sens étroit. Le risque pour l'intérêt public poursuivi est en effet aussi faible que la restriction à la liberté des recourants est importante. Dans ces circonstances, le refus d'autorisation litigieux viole le principe de la proportionnalité et, partant, la liberté de conscience et de croyance des recourants. Le recours sera par conséquent admis et la décision litigieuse annulée. 9) Vu l'issue du litige, il ne sera pas perçu d'émolument (art. 87 al. 1 LPA) et une indemnité de procédure de CHF 1'500.- sera allouée aux recourants, à la charge de l'État de Genève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