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A/2388/2003 vom 17. Juni 2004</w:t>
      </w:r>
    </w:p>
    <w:p>
      <w:r>
        <w:t>GE Cour de justice, 2004-06-17, FR</w:t>
      </w:r>
    </w:p>
    <w:p>
      <w:r>
        <w:rPr>
          <w:b/>
        </w:rPr>
        <w:t xml:space="preserve">Quelle: </w:t>
      </w:r>
      <w:r>
        <w:t>https://mcp.opencaselaw.ch/entscheid/ge_gerichte_A_2388_2003</w:t>
      </w:r>
    </w:p>
    <w:p>
      <w:r>
        <w:t>FR: GE_GERICHTE A/2388/2003 du 17 juin 2004</w:t>
      </w:r>
    </w:p>
    <w:p>
      <w:r>
        <w:t>IT: GE_GERICHTE A/2388/2003 del 17 giugno 2004</w:t>
      </w:r>
    </w:p>
    <w:p>
      <w:pPr>
        <w:pStyle w:val="Heading2"/>
      </w:pPr>
      <w:r>
        <w:t>Erwägungen</w:t>
      </w:r>
    </w:p>
    <w:p>
      <w:r>
        <w:rPr>
          <w:b/>
        </w:rPr>
        <w:t>E. 3</w:t>
      </w:r>
    </w:p>
    <w:p>
      <w:r>
        <w:t>ème chambre du 17 juin 2004 En la cause FONDATION INSTITUTION SUPPLETIVE LPP , Agence de Zürich, Limmatquai 94, case postale 859, 8025 Zürich demanderesse contre X__________ SA , pa M. M__________, défenderesse EN FAIT X__________ SA (ci-après : la société), inscrite au Registre du commerce de Genève, est propriétaire du restaurant Y__________, sis à Zürich, et y emploie plusieurs personnes. Le 26 mars 2002, l’Office de la prévoyance professionnelle du canton de Zürich a annoncé la société à la Fondation institution supplétive LPP (ci-après : la Fondation) pour une affiliation d’office. En effet, l’affiliation de la société à la Fondation PVE Gastrosuisse Aarau avait été résiliée au 31 décembre 2000. La société n’ayant pas apporté la preuve de l’existence d’un nouveau contrat auprès d’une institution de prévoyance enregistrée, la Fondation a rendu en date du 15 mai 2002 une décision d’affiliation d’office avec effet rétroactif au 1 er janvier 2001. Cette décision est entrée en force sans avoir été contestée. Par courrier du 17 décembre 2002, la Fondation a demandé à la société de remplir l’avis de mutation des salaires prévisionnels pour l’année 2003 et de lui annoncer les entrées et sorties d’assurés non encore déclarées. Il a été précisé que sans nouvelles dans le délai imparti, des frais de rappel, de mutation et de facturation seraient facturés. Par courrier du 11 janvier 2003, la Fondation a adressé à la société le relevé des opérations enregistrées au cours de l’exercice s’étant terminé le 31 décembre 2002. Ce relevé laissait apparaître un solde débiteur de Fr. 573.30. La société ne s’étant pas acquittée de cette somme, la Fondation, par courrier du 10 février 2003, lui a adressé une sommation formelle assortie de Fr. 100.— de frais de mise en demeure. Par courrier du 27 février 2003, la Fondation a une nouvelle fois réclamé à la société l’avis de mutation des salaires de l’année 2003. S’y ajoutaient Fr. 50.— de frais de rappel. Un bordereau de contribution a été établi en date du 23 avril 2003, fixant le montant dû à Fr. 48'700.--, à payer dans les 30 jours. Ce décompte a été établi sur la base des salaires AVS 2002 enregistrés par la Caisse de compensation AVS Gastrosuisse à Aarau, compte tenu du fait que le salaire coordonné correspond au salaire brut AVS moins la déduction de coordination. Par courrier du 5 mai 2003, la Fondation a formellement sommé la société de payer les montants dus tels que ressortant du relevé de compte courant au 2 mai 2003. Par courrier du 15 juillet 2003, la Fondation a adressé une nouvelle sommation à la société. Le montant en souffrance s’élevait alors, selon le relevé de compte courant du 11 juillet 2003, à Fr. 49'523.30. Une dernière sommation, adressée à la société en date du 4 août 2003, est également restée lettre morte. Le 6 octobre 2003, sur réquisition de la Fondation, l’Office des poursuites et faillites (ci-après l’OP) a notifié un commandement de payer N° 03 223937 V à la société pour des montants de Fr. 49'523.30 avec intérêts à 5% dès le 19 août 2003, et Fr. 250.-- de frais. La société a fait opposition en date du 22 octobre 2003. Le 10 décembre 2003, la Fondation a saisi le Tribunal de céans d’une requête en mainlevée définitive de l’opposition. Entre autres documents, elle a produit le bordereau de cotisations, le commandement de payer, les relevés de compte de l’employeur, ainsi que diverses sommations. Invité à se déterminer, la défenderesse ne s’est pas manifestée. EN DROIT La loi genevoise sur l’organisation judiciaire (LOJ ; E 2 05) a été modifiée et a institué, dès le 1 er août 2003, un Tribunal cantonal des assurances sociales. Conformément à l’art. 56 V al. 1 lit. b, ce Tribunal connaît en instance unique des contestations relatives à la prévoyance professionnelle opposant institutions de prévoyance, employeur et ayants droits, y compris en cas de divorce, ainsi qu’aux prétentions en responsabilité. Déposée devant la juridiction compétente, la demande est ainsi recevable. La loi fédérale sur la prévoyance professionnelle vieillesse, survivants et invalidité du 25 juin 1982 (LPP  - RS 831.40)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L’art. 3 al. 1 de l’ordonnance sur les droits de l’institution supplétive en matière de prévoyance professionnelle (ci-après : l’ordonnance ; RS 831.434) prévoit encore que l’employeur doit verser à l’institution supplétive les cotisations dues pour l’ensemble des salariés soumis à la loi, avec effet dès le moment où il aurait dû être affilié à une institution de prévoyance. Le taux de l’intérêt moratoire correspond à celui qu’applique habituellement l’institution supplétive en cas de retard dans le paiement des cotisations (art. 3 al. 2 de l’ordonnance). Aux termes de l’art. 73 al. 1 LPP, chaque canton désigne un tribunal qui connaît, en dernière instance cantonale, des contestations opposant institutions de prévoyance, employeurs et ayants droit. La LPP n’a pas institué de procédure d’opposition préalable au recours au tribunal. La jurisprudence a précisé en outre que ni les institutions de prévoyance, ni l’institution supplétive ne pouvaient annuler l’opposition à une poursuite en recouvrement de cotisations dues par l’employeur par une décision assimilable à un jugement (ATF 115 III 95 ; JdT 1991 II 149). Le Tribunal de céans peut ainsi connaître directement de l’opposition faite par le débiteur au commandement de payer.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 C. JAEGER, Bundesgesetz über Schuldbetreibung und Konkurs, 1999 p. 621). Par autorités administratives fédérales – et par extension autorités administratives cantonales de dernière instance - ,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Le Tribunal cantonal des assurances sociales statuant en dernière instance cantonale et dans l’accomplissement de tâches de droit public peut, selon ce qui précède, prononcer la mainlevée définitive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En l’espèce, le Tribunal de céans tient pour établi qu’en sa qualité d’employeur occupant des salariés, la défenderesse devait obligatoirement être affilié à une caisse de prévoyance professionnelle, ce qui du reste n’a jamais été contesté par ce dernier dès lors que la décision d’affiliation est entrée en force sans faire l’objet d’aucun recours. Il convient par ailleurs d’admettre que les décomptes de la Fondation portant sur sont exacts. En effet, il ressort de l’ensemble des pièces produites par la demanderesse que la défenderesse est demeurée débitrice d’un montant de Fr. 49'523.30 correspondant aux cotisations des employés dues pour l’année 2002. En outre, la simple passivité de la débitrice, celui-ci n’ayant réagi ni aux sommations de la Fondation, ni à celle du Tribunal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Les intérêts et frais dus par le défendeur sont par ailleurs prévus à l’art. 3 al. 2 de l’ordonnance sur les droits de l’institution supplétive en matière de prévoyance professionnelle précitée et à l’art. 7 ch. 3, 4 et 6 des conditions d’affiliation remises à l’employeur lors de la décision d’affiliation du 23 mai 1996. Pour tous ces motifs, il y a lieu d’admettre la demande et de prononcer la mainlevée définitive de l’opposition au commandement de payer. En ce qui concerne les frais et dépens de la cause, l’art. 73 al. 2 LPP précise que les cantons doivent prévoir une procédure simple, rapide et, en principe, gratuite. L’art. 89H al. 1 de la loi sur la procédure administrative du 12 septembre 1985 (LPA ; E 5 10)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[RS 831.10] ; cf. actuellement art. 61 let. a de la loi fédérale sur la partie générale des assurances sociales [LPGA  - RS 830.1 ;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Selon l’ATF 110 V 134 consid. 4d, il n’y a pas lieu d’allouer des dépens pour les frais de travail personnel et pour les vacations, sauf circonstances particulières. Une telle situation d’exception doit être admise lorsque les conditions suivantes sont cumulativement réunies : il faut qu’il s’agisse d’une affaire compliquée avec une valeur litigieuse élevée. Il faut en outre que la sauvegarde des intérêts de la partie en question nécessitent une grande quantité de travail qui dépasse le cadre de ce que l’on peut normalement et raisonnablement exiger de quelqu’un pour s’occuper de ses affaires personnelles ; il faut donc une masse de travail qui gêne de manière importante l’occupation normale (par exemple professionnelle). Enfin, il faut qu’il y ait un rapport raisonnable entre le travail fourni et le résultat de la sauvegarde des intérêts de la personne concernée (ATF 110 V 82 consid. 7 et 135 consid. 4b ; Pratique VSI 2002 p. 60). On se base sur la situation concrète de la partie qui réclame des dépens pour juger si ces diverses conditions sont remplies cumulativement (RCC 1989 p. 274 consid. 5c). En l’espèce, il convient de déterminer en premier lieu si la défenderesse a agi avec légèreté ou témérité, justifiant une exception au principe de la gratuité de la procédure, puis, cela fait, si des dépens peuvent être octroyés à la demanderesse. a. Au vu de l’attitude de la défenderesse avant le procès ainsi qu’au cours de la procédure judiciaire, la légèreté de son comportement doit être constatée. En effet, il a négligé de se réaffilier à une institution de prévoyance, ce qui a amené la Fondation à l’affilier d’office conformément aux dispositions légales. Il n’a par ailleurs jamais donné suite aux multiples sommations qui lui ont été adressées par la Fondation. Au vu de ces différents éléments, le Tribunal de céans est fondé, compte tenu de la jurisprudence précitée, à lui réclamer un émolument à titre de frais de procédure. Pour en fixer le montant, le Tribunal cantonal des assurances sociales statue dans les limites établies par règlement du Conseil d’Etat. Les frais de procédure qui peuvent être mis à la charge de la partie comprennent l’émolument d’arrêté et les débours (art. 1 du règlement sur les frais, émoluments et indemnités en procédure administrative ; E 5 10.03) En règle générale, l’émolument d’arrêté n’excède pas Fr. 10'000.-- (art. 2 al. 1 du règlement précité). Le Tribunal condamnera dès lors le défendeur à payer un émolument de Fr. 1'000.--. b. Reste à examiner la question des dépens. Le Tribunal constate que la Fondation a agi sans mandataire pour faire valoir sa créance. Au surplus, il ne s’agit cependant pas d’une affaire complexe au niveau des faits ou du droit et le travail requis n’a pas dépassé le cadre de ce qui est normalement nécessaire dans un cas de ce genre. Dans ces conditions, il ne sera octroyé aucune indemnité de dépens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