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A/2383/2025 vom 3. September 2025</w:t>
      </w:r>
    </w:p>
    <w:p>
      <w:r>
        <w:t>GE Cour de justice, 2025-09-03, FR</w:t>
      </w:r>
    </w:p>
    <w:p>
      <w:r>
        <w:rPr>
          <w:b/>
        </w:rPr>
        <w:t xml:space="preserve">Quelle: </w:t>
      </w:r>
      <w:r>
        <w:t>https://mcp.opencaselaw.ch/entscheid/ge_gerichte_A_2383_2025</w:t>
      </w:r>
    </w:p>
    <w:p>
      <w:r>
        <w:t>FR: GE_GERICHTE A/2383/2025 du 3 septembre 2025</w:t>
      </w:r>
    </w:p>
    <w:p>
      <w:r>
        <w:t>IT: GE_GERICHTE A/2383/2025 del 3 settembre 2025</w:t>
      </w:r>
    </w:p>
    <w:p>
      <w:pPr>
        <w:pStyle w:val="Heading2"/>
      </w:pPr>
      <w:r>
        <w:t>Volltext</w:t>
      </w:r>
    </w:p>
    <w:p>
      <w:r>
        <w:t>Genève Cour de justice (Cour de droit public) Chambre administrative 03.09.2025 A/2383/2025</w:t>
      </w:r>
    </w:p>
    <w:p>
      <w:r>
        <w:t>A/2383/2025 ATA/962/2025 du 03.09.2025 ( AMENAG ) , REFUSE RÉPUBLIQUE ET CANTON DE GENÈVE POUVOIR JUDICIAIRE A/2383/2025 - AMENAG ATA/962/2025 COUR DE JUSTICE Chambre administrative Décision du 3 septembre 2025 sur effet suspensif dans la cause A______ recourante contre CONSEIL D'ÉTAT intimé Attendu, en fait, que le plan localisé de quartier n° 1______ (ci-après : PLQ), englobant les parcelles n os 2'347, 2'408, 7'227, dp 7'550 et, pour partie, dp 7'556 de la commune de B______, le long de la route C______ et entre la route D______ et le chemin E______, prévoit, au sein de treize aires d'implantation, la réalisation de treize bâtiments (A à M) ayant des gabarits divers, avec un gabarit maximum de cinq étages sur rez-de-chaussée inférieur et rez-de-chaussée supérieur pour une hauteur maximale de 24 m ; le projet permettra la réalisation de 66'547 m² de surfaces brutes de plancher au maximum, à raison de 60'146 m² de logement et de 6'400 m² d'activités, pour un indice d'utilisation du sol (ci-après : IUS) de 1.2 et un indice de densité de 1.85 ; il prévoit la création d'un maximum de 1'000 places de stationnement en sous-sol ainsi que le déplacement du terminus F______ de la ligne de tramway 14, afin de mieux répondre aux besoins des futurs usagers des nouveaux bâtiments ; l'ensemble du périmètre est situé en zone de développement 3 ; que, par courrier recommandé adressé le 4 mars 2025 au Conseil d’État, A______et G______, respectivement domiciliée sur la parcelle n° 7126 de la commune de B______ et copropriétaire de cette même parcelle, située à proximité directe du périmètre du PLQ, ont formé opposition au projet de PLQ ; que, par arrêté du 4 juin 2025 (n° 2165 – 2025), le Conseil d’État a rejeté, dans la mesure de sa recevabilité, l'opposition formée par A______ et G______; que, par un second arrêté également prononcé le 4 juin 2025 et publié dans la Feuille d’avis officielle de la République et canton de Genève, le Conseil d’État a approuvé le PLQ n° 1______et son règlement ; ce second arrêté était déclaré exécutoire nonobstant recours « en ce sens que les procédures administratives relatives aux demandes d'autorisations de construire peuvent suivre leur cours, l'exécution des travaux tendant à la réalisation des ouvrages et bâtiments étant toutefois interdite jusqu'à droit connu » ; que, par acte déposé le 7 juillet 2025 auprès de la chambre administrative de la Cour de justice (ci-après : la chambre administrative), A______ a formé recours contre la décision d'adoption du PLQ et de son règlement, déclarant s'opposer à la construction des nouveaux logements prévus et demandant que le projet soit révisé, respectivement adapté, en concertation avec les riverains et en tenant compte de leurs considérations légitimes ; dans la mesure où les demandes raisonnables qu'elle avait formulées, visant à atténuer les effets négatifs du projet sur les habitations des riverains, n'avaient pas été prises en considération, il ne pouvait être considéré qu'une véritable concertation avait eu lieu ; la zone agricole sur laquelle se trouvait le périmètre du PLQ aurait dû être déclassée en zone 4 et non 3, afin d'être en harmonie avec le village de B______ ; le gabarit de certains bâtiments excédait la limite de 21 m applicable en zone 3, sans justification motivée ; l'IUS était en réalité supérieur à 1.2 ; les surfaces de pleine terre étaient insuffisantes ; que la recourante a sollicité à titre préalable que l'effet suspensif soit restitué au recours, au motif que, aussi longtemps que le PLQ n'était pas entré en force, les règles de la zone ordinaire sous-jacente, en l'espèce la zone agricole, devaient s'appliquer ; que, dans ses observations du 21 juillet 2025, le Conseil d’État, soit pour lui l'office de l'urbanisme (ci-après : OU), a conclu au rejet de la requête de restitution de l'effet suspensif ; la requête formulée en ce sens n'était pas motivée et la recourante échouait à établir tout risque de préjudice irréparable ; la clause figurant au ch. 2 de l'arrêté d'adoption du PLQ et de son règlement ne s'étendait pas à la réalisation effective des constructions le cas échéant autorisées, seule de nature à causer, éventuellement, un préjudice à la recourante ; la mise en valeur des zones de développement existantes, telle celle concernée par le PLQ, entrait pleinement dans le cadre de la politique de densification voulue par le plan directeur cantonal 2030 ; elle visait à rendre possible la création de logements sociaux supplémentaires, afin de répondre à une crise dont l'ampleur considérable n'était pas contestée ; les intérêts publics et privés en jeu l'emportaient ainsi, dans le cas d'espèce, sur celui de la recourante à contrecarrer les objectifs visés en les retardant autant que possible ; que, la recourante ayant renoncé à répliquer, la cause a été gardée à juger le 28 août 2025 sur restitution de l'effet suspensif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s’il est vrai que le retrait – partiel – de l’effet suspensif au recours permet le dépôt et le traitement d’éventuelles demandes d’autorisations de construire pendant la procédure de recours, la recourante conserve la possibilité de faire valoir ses droits dans la procédure d’examen de ces demandes, puis de contester la délivrance éventuelle d’autorisations ; que, comme la chambre de céans l’a déjà relevé à plusieurs reprises (arrêt du Tribunal fédéral 1C_363/2016 du 5 octobre 2016 consid. 1.3 ; ATA/93/2025 du 22 janvier 2025 ; ATA/841/2024 du 11 juillet 2024 ; ATA/799/2022 du 12 août 2022 ; ATA/706/2018 du 10 juillet 2018 ; ATA/787/2015 précité), seule la réalisation effective de constructions – exclue par le libellé de la décision de retrait de l’effet suspensif – serait le cas échéant de nature à causer à la recourante un préjudice irréparable ; que l’exclusion partielle de l’effet suspensif répond par ailleurs à un intérêt public important, consistant à pouvoir traiter sans attendre d’éventuelles demandes d’autorisations de construire de manière à ce que, dans l’hypothèse où le recours serait rejeté, les constructions susceptibles d’être autorisées, puissent être rapidement réalisées ; que la recourante n'explique pour sa part pas quel préjudice le traitement administratif immédiat des demandes d'autorisations de construire serait susceptible de lui causer, les arguments invoqués dans son recours visant l'exécution des constructions planifiées ; ce traitement ne contrevient en particulier pas au maintien, jusqu'à l'éventuelle entrée en force du PLQ, du caractère agricole de la zone ; que l'intérêt public précité l’emporte sur l’intérêt privé de la recourante à ce que la situation antérieure à l’adoption du PLQ prévale jusqu’à la fin de la procédure de recours ; qu’au vu de ces éléments, la requête de restitution de l’effet suspensif sera rejetée ; qu’il sera statué sur les frais de la présente décision avec l’arrêt sur le fond.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A______ ainsi qu'au Conseil d'état, soit pour lui à l'office de l'urbanisme.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