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A/2379/2021 vom 15. November 2021</w:t>
      </w:r>
    </w:p>
    <w:p>
      <w:r>
        <w:t>GE Cour de justice, 2021-11-15, FR</w:t>
      </w:r>
    </w:p>
    <w:p>
      <w:r>
        <w:rPr>
          <w:b/>
        </w:rPr>
        <w:t xml:space="preserve">Quelle: </w:t>
      </w:r>
      <w:r>
        <w:t>https://mcp.opencaselaw.ch/entscheid/ge_gerichte_A_2379_2021</w:t>
      </w:r>
    </w:p>
    <w:p>
      <w:r>
        <w:t>FR: GE_GERICHTE A/2379/2021 du 15 novembre 2021</w:t>
      </w:r>
    </w:p>
    <w:p>
      <w:r>
        <w:t>IT: GE_GERICHTE A/2379/2021 del 15 novembre 2021</w:t>
      </w:r>
    </w:p>
    <w:p>
      <w:pPr>
        <w:pStyle w:val="Heading2"/>
      </w:pPr>
      <w:r>
        <w:t>Regeste</w:t>
      </w:r>
    </w:p>
    <w:p>
      <w:r>
        <w:t>RETRAIT DE PERMIS;SIGNALISATION ROUTIÈRE;SIGNAL LUMINEUX;FAUTE GRAVE;ACCIDENT | LCR.16c.al2.leta; LCR.15c.al1.leta; LCR.27.al1</w:t>
      </w:r>
    </w:p>
    <w:p>
      <w:pPr>
        <w:pStyle w:val="Heading2"/>
      </w:pPr>
      <w:r>
        <w:t>Volltext</w:t>
      </w:r>
    </w:p>
    <w:p>
      <w:r>
        <w:t>Genf Tribunal administratif de première instance en matière fiscale 15.11.2021 A/2379/2021 Genève Tribunal administratif de première instance en matière fiscale 15.11.2021 A/2379/2021 Ginevra Tribunal administratif de première instance en matière fiscale 15.11.2021 A/2379/2021</w:t>
      </w:r>
    </w:p>
    <w:p>
      <w:r>
        <w:t>RETRAIT DE PERMIS;SIGNALISATION ROUTIÈRE;SIGNAL LUMINEUX;FAUTE GRAVE;ACCIDENT | LCR.16c.al2.leta; LCR.15c.al1.leta; LCR.27.al1</w:t>
      </w:r>
    </w:p>
    <w:p>
      <w:r>
        <w:t>A/2379/2021 JTAPI/1141/2021 du 15.11.2021 ( LCR ) , REJETE Descripteurs : RETRAIT DE PERMIS;SIGNALISATION ROUTIÈRE;SIGNAL LUMINEUX;FAUTE GRAVE;ACCIDENT Normes : LCR.16c.al2.leta; LCR.15c.al1.leta; LCR.27.al1 En fait En droit Par ces motifs RÉPUBLIQUE ET CANTON DE GENÈVE POUVOIR JUDICIAIRE A/2379/2021 LCR JTAPI/1141/2021 JUGEMENT DU TRIBUNAL ADMINISTRATIF DE PREMIÈRE INSTANCE du 15 novembre 2021 dans la cause Monsieur A______ contre OFFICE CANTONAL DES VÉHICULES EN FAIT 1.             Monsieur A______, né le ______ 1974, est titulaire du permis de conduire depuis le 10 avril 2008. Il exerce la profession de chauffeur professionnel. 2.             Le 27 mars 2021, à 10h43, M. A______ a été impliqué dans un accident de la circulation. Selon le rapport de police établi à cette occasion, venant de la place des B______, l'intéressé circulait rue de C______ en direction de la rue D______. Il transportait une passagère à l'arrière du véhicule. À la hauteur de la rue E______, alors que la signalisation lumineuse passait du vert au jaune pour son sens de marche, il avait renoncé à ralentir et à s'immobiliser, préférant accélérer pour tenter de franchir l'intersection avant la phase rouge. Malgré cette tentative, il avait franchi la ligne d'arrêt à la phase rouge. Lors de cette manœuvre, peu après avoir franchi la ligne d'arrêt de la signalisation lumineuse, un heurt s'était produit entre l'avant de cette automobile et le flanc gauche d'un motocycle, lequel venant de la rue des B______, circulait rue E______ en direction de la rue de C______. Suite à ce choc, le motocycliste a chuté, se blessant légèrement. M. A______ et sa passagère ont également été légèrement blessés. Lors de son audition par la police, M. A______ a reconnu avoir accéléré à la vue de la phase jaune mais il a contesté être passé au rouge. Interrogé par la police, le motocycliste a indiqué circuler sur la rue E______ alors que le feu était à la phase verte. À l'approche du feu, celui-ci était passé au jaune. De ce fait, il avait franchi la ligne de feu et avait été heurté sur son flanc gauche par l'automobile conduite par M. A______. Un appel à témoin avait été publié le 29 mars 2021. Suite à cela Monsieur F______ et sa passagère, Madame G______ s'étaient annoncés à la police. Entendus le 7 avril 2021, les témoins ont indiqué que venant de la rue des B______, ils circulaient sur la rue E______ en direction de la rue de C______. À l'intersection avec cette artère, ils s'étaient arrêtés en première position à la phase rouge de la signalisation lumineuse. Le motocycliste était venu se placer à l'avant droit du véhicule, dans le sas d'attente pour cyclistes, afin d'attendre la phase verte. Après environ 30 secondes, le feu était passé au vert et le motocycliste avait démarré. Alors qu'il se trouvait au milieu du carrefour, M. A______, automobiliste circulant de gauche à droite par rapport à son sens de marche l'avait percuté sur le flanc gauche avec l'avant de sa voiture de tourisme. La consultation du disque du tachygraphe analogique du véhicule de M. A______ a révélé que le véhicule circulait en dessous de la vitesse maximale autorisée au moment des faits. En conclusion, des investigations de la police et compte tenu du diagramme de fonctionnement des phases de signalisation lumineuse de l'intersection, il apparaissait que M. A______ avait franchi la ligne d'arrêt alors que la signalisation lumineuse se trouvait déjà à la phase rouge pour son sens de marche. 3.             Par courrier du 26 mai 2021, l'office cantonal des véhicules (ci-après : OCV) a informé M. A______ que les autorités de police avaient porté à sa connaissance l'infraction du 27 mars 2021, lui indiquant également qu'une mesure administrative pouvait être prise à son encontre, indépendamment de l'amende ou d'une autre sanction pénale que les autorités judiciaires pouvaient prononcer. Un délai de 15 jours lui était imparti pour produire ses observations écrites. 4.             En date du 9 juin 2021, M. A______ s'est déterminé. Il reconnaissait les faits reprochés qu'il regrettait infiniment. Il n'avait d'autre justification qu'une regrettable précipitation probablement due au stress et l'envie de transporter sa cliente à destination le plus rapidement possible. Il était encore choqué à l'idée des risques inutiles pris ce jour-là. Il soulignait par ailleurs qu'il était chauffeur professionnel et que sans son permis de conduire il serait dans l'impossibilité de pourvoir aux besoins de sa famille. Il était par ailleurs prêt à se soumettre à un stage de sensibilisation ou à toutes autres mesures de prévention que l'OCV jugerait utile. Il espérait que seul un avertissement serait prononcé à son encontre. 5.             Par décision du 15 juin 2021, prise en application de l'art. 16c de la loi fédérale sur la circulation routière du 19 décembre 1958 (LCR - RS 741.01), l'OCV a retiré le permis de conduire de M. A______ pour une durée de trois mois. L'infraction commise constituait une infraction grave aux règles de la circulation routière, de sorte que la durée minimale du retrait s'élevait à trois mois. M. A______ justifiait d'un besoin professionnel de conduire des véhicules automobiles au sens défini par la jurisprudence et il pouvait justifier d'une bonne réputation, le système d'information relatif à l'admission à la circulation (SIAC) ne faisant apparaître aucun antécédent. Compte tenu de l'ensemble des circonstances, l'autorité prononçait une mesure qui ne s'écartait pas du minimum légal. 6.             Par acte du 12 juillet 2021, M. A______ a saisi le Tribunal administratif de première instance (ci-après : le tribunal) d'un recours contre la décision précitée. Il regrettait profondément l'infraction reprochée tout en signalant que c'était la première fois qu'il était impliqué dans un tel accident et que désormais il redoublerait de vigilance sur la route. Il soulignait son activité indépendante de chauffeur professionnel qui était la seule source de revenus pour sa famille. Il a conclu à l'annulation de la décision querellée, à ce que seul un avertissement soit prononcé ou à ce que la durée du retrait soit limitée à un mois. 7.      Le 8 septembre 2021, l'OCV s'est déterminé, persistant dans les termes de sa décision.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À teneur de l'art. 27 al. 1 LCR, chacun se conformera aux signaux et marques ainsi qu'aux ordres de la police ; le feu rouge signifie "arrêt" (art. 68 OSR). Le conducteur devra rester constamment maître de son véhicule de façon à pouvoir se conformer aux devoirs de la prudence (art. 31 LCR) ; le conducteur vouera ainsi toute son attention à la route et à la circulation routière (art. 3 de l'ordonnance sur les règles de la circulation routière du 13 novembre 1962 - OCR - RS 741.11). 4.             En l'espèce le recourant ne conteste pas l'infraction reprochée. À savoir l'inobservation de la signalisation lumineuse à la phase rouge. Il reste en examiner la gravité. 5.             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 6.             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 7.             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 8.             La réalisation d'un cas grave suppose également une faute grave. Celle-ci n'est pas seulement donnée lorsque le conducteur est conscient du caractère dangereux d'un comportement contraire aux règles de la circulation du même genre que le sien; elle peut aussi l'être en cas de négligence inconsciente, lorsque le conducteur ne se rend fautivement pas compte du danger qu'il crée (ATF 126 II 206 consid. 1a ; 123 II 37 consid. 1b ; arrêt du Tribunal fédéral 6A.1/2005 précité consid. 2). 9.             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 10.         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 11.         En l'occurrence, par son comportement, le recourant a mis sérieusement en danger la sécurité d'autrui au sens de l'art. 16c al. 1 let. a LCR, comme en témoigne la collision survenue ; il est à cet égard notoire que le fait de percuter un véhicule représente un risque élevé de blessures pour les personnes impliquées ce qui s'est avéré en l'espèce puisque l'accident a occasionné des blessures, même sans gravité, tant au motocycliste qu'à la passagère du recourant qu'à lui-même. Eu égard à la jurisprudence rappelée plus haut, c’est partant à juste titre que le SCV a qualifié la faute du recourant de grave et sa décision faisant application de l’art. 16c al. 1 let. a LCR, qui entraîne le retrait obligatoire du permis de conduire, doit être confirmée. 12.         Le recourant fait valoir qu'il justifie d'une bonne réputation n'ayant aucun antécédent et demande qu'il soit tenu compte de ses besoins professionnels. 13.         Après une infraction grave, le permis de conduire est retiré pour une durée minimale de trois mois (art. 16c al. 2 let. a LCR). 14.         L’art. 16 al. 3 LCR prévoit que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 1C_585/2008 du 14 mai 2009 consid. 2.1 ; cf. aussi ATA/23/2015 du 6 janvier 2015). 15.         En l'espèce, la mesure prononcée par l'OCV correspond au minimum légal prescrit par l'art. 16c al. 2 let. a LCR. Étant lié par cette durée, qui constitue le minimum légal incompressible devant sanctionner l'infraction en cause, il ne pouvait en aucune manière tenir compte de la bonne réputation et des besoins professionnels allégués par le recourant et a donc parfaitement appliqué les règles en vigueur. 16.         Au vu de ce qui précède, le recours sera rejeté et la décision de l'OCV confirmée. 17.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12 juillet 2021 par Monsieur A______ contre la décision de l'office cantonal des véhicules du 15 juin 2021 ; 2.             le rejette; 3.             met à la charge du recourant, un émolument de CHF 500.-, lequel est couvert par l'avance de frais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