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A/2376/2015 vom 6. April 2016</w:t>
      </w:r>
    </w:p>
    <w:p>
      <w:r>
        <w:t>GE Cour de justice, 2016-04-06, FR</w:t>
      </w:r>
    </w:p>
    <w:p>
      <w:r>
        <w:rPr>
          <w:b/>
        </w:rPr>
        <w:t xml:space="preserve">Quelle: </w:t>
      </w:r>
      <w:r>
        <w:t>https://mcp.opencaselaw.ch/entscheid/ge_gerichte_A_2376_2015</w:t>
      </w:r>
    </w:p>
    <w:p>
      <w:r>
        <w:t>FR: GE_GERICHTE A/2376/2015 du 6 avril 2016</w:t>
      </w:r>
    </w:p>
    <w:p>
      <w:r>
        <w:t>IT: GE_GERICHTE A/2376/2015 del 6 aprile 2016</w:t>
      </w:r>
    </w:p>
    <w:p>
      <w:pPr>
        <w:pStyle w:val="Heading2"/>
      </w:pPr>
      <w:r>
        <w:t>Erwägungen</w:t>
      </w:r>
    </w:p>
    <w:p>
      <w:r>
        <w:rPr>
          <w:b/>
        </w:rPr>
        <w:t>E. 4</w:t>
      </w:r>
    </w:p>
    <w:p>
      <w:r>
        <w:t>La compétence ratione loci prévue par l’art. 52 al. 5 LAVS s’applique également lorsque la caisse recherche subsidiairement un organe de l’employeur en réparation du dommage (REICHMUTH, op. cit. p. 247 n. 1042). Est ainsi compétent le tribunal du canton dans lequel l’employeur avait son siège ou son domicile au moment de l’ouverture de la faillite et ce, indépendamment du domicile de l’organe poursuivi (arrêt du Tribunal fédéral des assurances H 130/06 du 13 février 2007 consid. 4.2).</w:t>
      </w:r>
    </w:p>
    <w:p>
      <w:r>
        <w:rPr>
          <w:b/>
        </w:rPr>
        <w:t>E. 5</w:t>
      </w:r>
    </w:p>
    <w:p>
      <w:r>
        <w:t>En l’espèce, la société a transféré son siège de Genève à Lausanne le 8 juin 2009. Au moment de l’ouverture de la faillite, son siège n’était donc plus dans le canton de Genève mais dans le canton de Vaud. En conséquence, la chambre de céans n’est pas compétente pour statuer sur le recours interjeté par l’associé-gérant le 8 juillet 2015. L’indication des voies de droit figurant dans la décision entreprise est partant erronée. Le recourant ne subit toutefois aucun dommage pour autant, puisqu’en saisissant à temps un tribunal incompétent, à savoir la chambre de céans, il est réputé avoir observé le délai de recours imparti (art. 60 al. 2 cum art. 39 al. 2 LPGA). Dès lors qu'il incombe au tribunal, qui décline sa compétence, de transmettre sans délai le recours au tribunal compétent (art. 58 al. 3 LPGA), la chambre de céans transmettra celui-ci à la Cour des assurances sociales du Tribunal cantonal du canton de Vaud. PAR CES MOTIFS, LA CHAMBRE DES ASSURANCES SOCIALES : Statuant : 1.      Se déclare incompétente ratione loci.![endif]&gt;![if&gt; 2.      Transmet la cause à la Cour des assurances sociales du Tribunal cantonal du canton de Vaud.![endif]&gt;![if&gt;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