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A/2376/2004 vom 23. März 2004</w:t>
      </w:r>
    </w:p>
    <w:p>
      <w:r>
        <w:t>GE Cour de justice, 2004-03-23, FR</w:t>
      </w:r>
    </w:p>
    <w:p>
      <w:r>
        <w:rPr>
          <w:b/>
        </w:rPr>
        <w:t xml:space="preserve">Quelle: </w:t>
      </w:r>
      <w:r>
        <w:t>https://mcp.opencaselaw.ch/entscheid/ge_gerichte_A_2376_2004</w:t>
      </w:r>
    </w:p>
    <w:p>
      <w:r>
        <w:t>FR: GE_GERICHTE A/2376/2004 du 23 mars 2004</w:t>
      </w:r>
    </w:p>
    <w:p>
      <w:r>
        <w:t>IT: GE_GERICHTE A/2376/2004 del 23 marzo 2004</w:t>
      </w:r>
    </w:p>
    <w:p>
      <w:pPr>
        <w:pStyle w:val="Heading2"/>
      </w:pPr>
      <w:r>
        <w:t>Erwägungen</w:t>
      </w:r>
    </w:p>
    <w:p>
      <w:r>
        <w:rPr>
          <w:b/>
        </w:rPr>
        <w:t>E. 4</w:t>
      </w:r>
    </w:p>
    <w:p>
      <w:r>
        <w:t>En l’espèce, il sied de relever que la procédure pendante dans la cause A/1562/2003 devant le Tribunal de céans a pour objet de déterminer si les expertises établies par les Dr L__________ et M__________ ont valeur probante au sens de la loi et de la jurisprudence. Dans la mesure où l’intimé s’est fondé sur les mêmes expertises pour refuser toute prestation au recourant, il se justifie de suspendre la présente procédure, jusqu’à droit connu.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