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A/2364/2016 vom 10. August 2016</w:t>
      </w:r>
    </w:p>
    <w:p>
      <w:r>
        <w:t>GE Cour de justice, 2016-08-10, FR</w:t>
      </w:r>
    </w:p>
    <w:p>
      <w:r>
        <w:rPr>
          <w:b/>
        </w:rPr>
        <w:t xml:space="preserve">Quelle: </w:t>
      </w:r>
      <w:r>
        <w:t>https://mcp.opencaselaw.ch/entscheid/ge_gerichte_A_2364_2016</w:t>
      </w:r>
    </w:p>
    <w:p>
      <w:r>
        <w:t>FR: GE_GERICHTE A/2364/2016 du 10 août 2016</w:t>
      </w:r>
    </w:p>
    <w:p>
      <w:r>
        <w:t>IT: GE_GERICHTE A/2364/2016 del 10 agosto 2016</w:t>
      </w:r>
    </w:p>
    <w:p>
      <w:pPr>
        <w:pStyle w:val="Heading2"/>
      </w:pPr>
      <w:r>
        <w:t>Erwägungen</w:t>
      </w:r>
    </w:p>
    <w:p>
      <w:r>
        <w:rPr>
          <w:b/>
        </w:rPr>
        <w:t>E. 4</w:t>
      </w:r>
    </w:p>
    <w:p>
      <w:r>
        <w:t>ème Chambre En la cause Madame A______, domiciliée à VÉSENAZ, comparant avec élection de domicile en l'étude de Maître Marc MATHEY-DORET recourante contre HELVETIA COMPAGNIE SUISSE D'ASSURANCES SA, sise Dufourstrasse 40, SAINT-GALL intimée EN FAIT 1.        Madame A______ (ci-après l’assurée ou la recourante), née le ______ 1968, secrétaire auprès du Département de l’instruction publique de l’Etat de Genève, a été victime d’un accident le 24 novembre 2003. Alors qu’elle traversait la chaussée sur un passage pour piétons, elle a été renversée par un cycliste qui n’avait pas respecté le feu rouge. L’assurée a subi un traumatisme crânien avec perte de connaissance ayant entraîné une fracture du rocher et de l’écaille temporale gauches, une contusion hémorragique frontale droite et une atteinte de l’ATM gauche. ![endif]&gt;![if&gt; 2.        La Nationale suisse assurances SA (ci-après l’assureur) a pris en charge le cas et versé des prestations. ![endif]&gt;![if&gt; 3.        L’assureur a mis en œuvre une expertise médicale auprès du CEMed de Nyon. Au vu de la gravité des atteintes initiales, les experts ont estimé qu’une incapacité de travail de 40% était justifiée pour une période de cinq ans à partir de l’événement accidentel. Si une incapacité de travail devait persister au-delà, une réappréciation de la capacité de travail effective devrait être effectuée au travers d’une expertise (rapport d’expertise du 17 janvier 2006).![endif]&gt;![if&gt; 4.        Se fondant sur ce rapport d’expertise, l’assureur, par décision du 11 juin 2007 entrée en force, a octroyé à l’assurée une rente d’invalidité de 40% avec effet rétroactif au 1 er décembre 2005. ![endif]&gt;![if&gt; 5.        De son côté, l’Office cantonal de l’assurance-invalidité (ci-après l’OAI), auprès duquel l’assurée avait déposé une demande de prestations, a également reconnu l’assurée invalide à 40% et lui a octroyé un quart de rente d’invalidité (décision du 24 avril 2007). ![endif]&gt;![if&gt; 6.        En septembre 2007, l’assurée a sollicité la révision de ses rentes, alléguant une aggravation de son état de santé.![endif]&gt;![if&gt; 7.        Dans le cadre de la procédure AI, l’OAI a été invité par la chambre de céans, à entrer en matière sur la demande de révision et mettre en œuvre une expertise pluridisciplinaire (cf. arrêt du 27 août 2014 ATAS/942/2014 ). Par le biais de la plateforme SuisseMED@P, le mandat d’expertise pluridisciplinaire a été confié à la Policlinique médicale universitaire de Lausanne (ci-après : PMU).![endif]&gt;![if&gt; 8.        L’assurée a fait l’objet d’un examen de médecine interne, d’un consilium psychiatrique, neuropsychologie neurologique et rhumatologique. Les conclusions du rapport d’expertise du 8 septembre 2015 ont été discutées dans le cadre d’un colloque de synthèse multidisciplinaire en présence des doctoresses B______ et C______, internistes, et du docteur D______, psychiatre. Les experts de la PMU ont conclu à une aggravation sur le plan psychique en septembre 2007, probablement de manière continue jusqu’à mi-2009, avec une incapacité de travail de 60 % (exacerbation de migraines avec état dépressif intermittent et syndrome post-commotionnel). Depuis mi-2009, l’état psychique est stabilisé, nettement amélioré anamnestiquement, de sorte qu’une limitation globale de la capacité de travail d’au maximum de 20 à 30 % est retenue.![endif]&gt;![if&gt; 9.        Par décision du 17 mai 2016, l’assureur (aujourd’hui Helvetia assurances, ci-après l’intimée) a réduit la rente d’invalidité de l’assurée à 20%, considérant, sur la base des conclusions de l’expertise de la PMU, que son état de santé s’était amélioré depuis la mi-2009 et qu’elle disposerait d’une capacité de travail d’au moins 80% dans sa profession habituelle d’employée de bureau. À partir du 1 er juin 2016, l’assurée percevra une rente mensuelle de CHF 1'167.35. L’effet suspensif de l’opposition a été retiré. ![endif]&gt;![if&gt; 10.    L’assurée a formé opposition le 14 juin 2016 et requis préalablement la restitution de l’effet suspensif.![endif]&gt;![if&gt; 11.    Par décision du 22 juin 2016, l’intimée a rejeté la requête en restitution de l’effet suspensif.![endif]&gt;![if&gt; 12.    L’assurée, par l’intermédiaire de son mandataire, interjette recours le 8 juillet 2016, concluant à l’annulation de la décision et à la restitution de l’effet suspensif. Elle fait valoir que les experts de la PMU n’attestent pas d’une amélioration quelconque de l’état de santé et, a fortiori, pas d’une amélioration notable. Leur appréciation de la capacité de travail résiduelle procède d’une appréciation postérieure divergente, ce qui ne justifie pas la révision de la rente. La recourante allègue qu’en raison de la diminution de sa rente, elle se trouve plongée dans une situation financière intenable, ne parvenant plus à couvrir ses charges. La diminution de sa rente s’avère d’emblée manifestement infondée, de sorte que son intérêt prépondérant à percevoir la rente durant la procédure doit prévaloir sur celui de l’intimée.![endif]&gt;![if&gt; 13.    Par réponse du 25 juillet 2016, l’intime conclut au rejet du recours, relevant que les révisons sur l’issue du litige ne présentent pas, pour la recourante, un degré de certitude suffisant pour qu’elles soient prises en considération. ![endif]&gt;![if&gt; 14.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prescrits, le recours est recevable (art. 56 et 60 LPGA ; art. 89B de la loi sur la procédure administrative du 12 septembre 1985 (LPA-GE - E 5 10).![endif]&gt;![if&gt; 3.        Le litige consiste à déterminer si l’intimée est fondée à refuser la restitution de l’effet suspensif de l’opposition. ![endif]&gt;![if&gt; 4.        a) La LPGA ne contient aucune disposition en matière d'effet suspensif.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l'art. 55 al. 2 et 4 PA relatif au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compensation.![endif]&gt;![if&gt; b) Selon l'art. 11 al. 2 de l’ordonnance sur la partie générale du droit des assurances sociales du 11 septembre 2002 (OPGA - RS 830.11), l'assureur peut, sur requête ou d'office, retirer l'effet suspensif ou rétablir l'effet suspensif retiré dans la décision.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5.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96![endif]&gt;![if&gt; 6.        En l’espèce, la recourante conclut à la restitution de l’effet suspensif de l’opposition, motif pris que la décision de l’intimée de réduire sa rente d’invalidité est d’emblée manifestement infondée. En effet, les médecins de la PMU, à l’exception de l’aggravation au plan psychique de septembre 2007 à mi-2009, n’attestent pas d’une amélioration quelconque, de sorte que l’estimation de la capacité de travail résiduelle procéderait d’une appréciation postérieure divergente, Les conditions de la révision ne sont ainsi pas remplies, pas plus que celles de la reconsidération. ![endif]&gt;![if&gt; L’intimée s’y oppose, considérant qu’il ressort de l’expertise que les examinateurs ont constaté l’absence de ralentissement psychomoteur, de trouble de la vigilance, de baisse de la thymie ou de plainte d’ordre psychologique. Par ailleurs, l’OAI envisage également de réduire, voire de supprimer la rente d’invalidité de la recourante. La chambre de céans relève que la question de savoir si l’appréciation de la capacité de travail de la recourante par les experts de la PMU relève d’une appréciation divergente ou non ne peut être résolue à ce stade de la procédure. Elle nécessite une étude et analyse minutieuse de l’expertise pluridisciplinaire, ainsi que du dossier médical de la recourante. Les prévisions quant à l’issue du litige n’apparaissent en l’état pas avec une certitude suffisante pour admettre la restitution de l’effet suspensif. De surcroît, la situation financière intenable dont fait état la recourante constitue un motif supplémentaire de refuser la restitution de l’effet suspensif. Dans ces circonstances, il est en effet à craindre qu’une éventuelle procédure de restitution des prestations versées à tort ne se révèle infructueuse. Partant, c’est à bon droit que l’intimée a rejeté la requête en restitution de l’effet suspensif. 7.        Au vu de ce qui précède, le recours, mal fondé, est rejeté. ![endif]&gt;![if&gt; 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