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A/2357/2018 vom 25. Februar 2019</w:t>
      </w:r>
    </w:p>
    <w:p>
      <w:r>
        <w:t>GE Cour de justice, 2019-02-25, FR</w:t>
      </w:r>
    </w:p>
    <w:p>
      <w:r>
        <w:rPr>
          <w:b/>
        </w:rPr>
        <w:t xml:space="preserve">Quelle: </w:t>
      </w:r>
      <w:r>
        <w:t>https://mcp.opencaselaw.ch/entscheid/ge_gerichte_A_2357_2018</w:t>
      </w:r>
    </w:p>
    <w:p>
      <w:r>
        <w:t>FR: GE_GERICHTE A/2357/2018 du 25 février 2019</w:t>
      </w:r>
    </w:p>
    <w:p>
      <w:r>
        <w:t>IT: GE_GERICHTE A/2357/2018 del 25 febbraio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25.02.2019 A/2357/2018</w:t>
      </w:r>
    </w:p>
    <w:p>
      <w:r>
        <w:t>A/2357/2018 ATAS/144/2019 du 25.02.2019 ( AI ) , RETIRE rÉpublique et canton de genÈve POUVOIR JUDICIAIRE A/2357/2018 ATAS/144/2019 COUR DE JUSTICE Chambre des assurances sociales Arrêt du 25 février 2019 10 ème Chambre En la cause Madame A______, domiciliée à GENÈVE, comparant avec élection de domicile en l'étude de Maître SOLTERMANN Etienne recourante contre OFFICE DE L'ASSURANCE-INVALIDITÉ DU CANTON DE GENÈVE, sis rue des Gares 12, GENÈVE intimé Vu la décision de l'OFFICE DE L'ASSURANCE-INVALIDITÉ DU CANTON DE GENÈVE du 4 juin 2018, de refus de rente d'invalidité concernant feu B_____ A______ ; Vu le recours de Madame A______ du 9 juillet 2018 ; Vu la réponse de l'OAI du 7 août 2018 concluant au rejet du recours ; Vu le courrier de la recourante du 11 septembre 2018 persistant intégralement dans les termes et conclusions de son recours ; Vu le courrier de l'intimé du 2 octobre 2018 confirmant qu’il n'avait aucunement modifié sa position initiale quant à la question de la date de fin d'incapacité de travail de feu l'assuré ; Vu l'audience de comparution personnelle des parties du 11 février 2019 ; Attendu qu'à cette audience le conseil de la recourante a sollicité un délai au 18 février 2019, pour se déterminer sur le maintien ou le retrait du recours ; Que par courrier du 18 février 2019, le conseil de la recourante a indiqué que sa mandante retirait son recours ; Qu'il convient d'en prendre acte et de rayer la cause du rôle. PAR CES MOTIFS, LA CHAMBRE DES ASSURANCES SOCIALES : Prend acte du retrait du recours. Raye la cause du rôle. La greffière Florence SCHMUTZ Le président Mario-Dominique TORELLO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