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A/2353/2021 vom 24. Februar 2022</w:t>
      </w:r>
    </w:p>
    <w:p>
      <w:r>
        <w:t>GE Cour de justice, 2022-02-24, FR</w:t>
      </w:r>
    </w:p>
    <w:p>
      <w:r>
        <w:rPr>
          <w:b/>
        </w:rPr>
        <w:t xml:space="preserve">Quelle: </w:t>
      </w:r>
      <w:r>
        <w:t>https://mcp.opencaselaw.ch/entscheid/ge_gerichte_A_2353_2021</w:t>
      </w:r>
    </w:p>
    <w:p>
      <w:r>
        <w:t>FR: GE_GERICHTE A/2353/2021 du 24 février 2022</w:t>
      </w:r>
    </w:p>
    <w:p>
      <w:r>
        <w:t>IT: GE_GERICHTE A/2353/2021 del 24 febbraio 2022</w:t>
      </w:r>
    </w:p>
    <w:p>
      <w:pPr>
        <w:pStyle w:val="Heading2"/>
      </w:pPr>
      <w:r>
        <w:t>Erwägungen</w:t>
      </w:r>
    </w:p>
    <w:p>
      <w:r>
        <w:rPr>
          <w:b/>
        </w:rPr>
        <w:t>E. 3</w:t>
      </w:r>
    </w:p>
    <w:p>
      <w:r>
        <w:t>Le litige porte sur le bien-fondé de la suspension, pour une durée de 15 jours, du versement de l’indemnité à la recourante, à laquelle l’OCE reproche de n’avoir pas avoir donné suite en temps utile à la proposition d'entretien d'un employeur potentiel qui lui avait été assigné. ![endif]&gt;![if&gt;</w:t>
      </w:r>
    </w:p>
    <w:p>
      <w:r>
        <w:rPr>
          <w:b/>
        </w:rPr>
        <w:t>E. 4</w:t>
      </w:r>
    </w:p>
    <w:p>
      <w:r>
        <w:t>![endif]&gt;![if&gt;</w:t>
      </w:r>
    </w:p>
    <w:p>
      <w:r>
        <w:rPr>
          <w:b/>
        </w:rPr>
        <w:t>E. 4.1</w:t>
      </w:r>
    </w:p>
    <w:p>
      <w:r>
        <w:t>L'art. 8 LACI énumère les conditions d'octroi de l'indemnité de chômage.![endif]&gt;![if&gt;</w:t>
      </w:r>
    </w:p>
    <w:p>
      <w:r>
        <w:rPr>
          <w:b/>
        </w:rPr>
        <w:t>E. 4.1.1</w:t>
      </w:r>
    </w:p>
    <w:p>
      <w:r>
        <w:t>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![endif]&gt;![if&gt;</w:t>
      </w:r>
    </w:p>
    <w:p>
      <w:r>
        <w:rPr>
          <w:b/>
        </w:rPr>
        <w:t>E. 4.1.2</w:t>
      </w:r>
    </w:p>
    <w:p>
      <w:r>
        <w:t>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IC).![endif]&gt;![if&gt;</w:t>
      </w:r>
    </w:p>
    <w:p>
      <w:r>
        <w:rPr>
          <w:b/>
        </w:rPr>
        <w:t>E. 4.1.3</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17).![endif]&gt;![if&gt;</w:t>
      </w:r>
    </w:p>
    <w:p>
      <w:r>
        <w:rPr>
          <w:b/>
        </w:rPr>
        <w:t>E. 4.2</w:t>
      </w:r>
    </w:p>
    <w:p>
      <w:r>
        <w:t>La violation de ces obligations expose l’assuré à une suspension de son droit à l’indemnité.![endif]&gt;![if&gt;</w:t>
      </w:r>
    </w:p>
    <w:p>
      <w:r>
        <w:rPr>
          <w:b/>
        </w:rPr>
        <w:t>E. 4.2.1</w:t>
      </w:r>
    </w:p>
    <w:p>
      <w:r>
        <w:t>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d).![endif]&gt;![if&gt;</w:t>
      </w:r>
    </w:p>
    <w:p>
      <w:r>
        <w:rPr>
          <w:b/>
        </w:rPr>
        <w:t>E. 4.2.2</w:t>
      </w:r>
    </w:p>
    <w:p>
      <w:r>
        <w:t>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825).![endif]&gt;![if&gt;</w:t>
      </w:r>
    </w:p>
    <w:p>
      <w:r>
        <w:rPr>
          <w:b/>
        </w:rPr>
        <w:t>E. 4.3</w:t>
      </w:r>
    </w:p>
    <w:p>
      <w:r>
        <w:t>La durée de la suspension est proportionnelle à la gravité de la faute (art. 30 al. 3 LACI ; arrêt du Tribunal fédéral des assurances C 254/06 du 26 novembre 2007 consid. 5.3).![endif]&gt;![if&gt;</w:t>
      </w:r>
    </w:p>
    <w:p>
      <w:r>
        <w:rPr>
          <w:b/>
        </w:rPr>
        <w:t>E. 4.3.1</w:t>
      </w:r>
    </w:p>
    <w:p>
      <w:r>
        <w:t>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OACI).![endif]&gt;![if&gt;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w:t>
      </w:r>
    </w:p>
    <w:p>
      <w:r>
        <w:rPr>
          <w:b/>
        </w:rPr>
        <w:t>E. 4.3.2</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![endif]&gt;![if&gt;</w:t>
      </w:r>
    </w:p>
    <w:p>
      <w:r>
        <w:rPr>
          <w:b/>
        </w:rPr>
        <w:t>E. 4.3.3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références).![endif]&gt;![if&gt;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la recourante ne conteste pas le fait qu'elle n'a réagi que tardivement à la proposition d'entretien formulée par le potentiel employeur par courriel du 17 juin 2020. En effet, elle n'y a répondu qu'en date du 5 juillet 2020, étant rappelé que le poste était à pourvoir à compter du 1 er juillet 2020. ![endif]&gt;![if&gt; Dès lors, il est établi que la recourante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 recourante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![endif]&gt;![if&gt;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w:t>
      </w:r>
    </w:p>
    <w:p>
      <w:r>
        <w:rPr>
          <w:b/>
        </w:rPr>
        <w:t>E. 7</w:t>
      </w:r>
    </w:p>
    <w:p>
      <w:r>
        <w:t>En l’espèce, dans l’appréciation de la gravité de sa faute, il y a lieu de tenir compte de l'ensemble des circonstances et des différents éléments recueillis lors de l'instruction.![endif]&gt;![if&gt; Le fait que la recourante suivait à l'époque un cours d'informatique ne saurait la dédouaner de son engagement à consulter sa messagerie quotidiennement. D'ailleurs, ainsi qu'elle le reconnaît elle-même, elle n'était pas "débordée" au point de ne pas réussir à dégager les quelques minutes quotidiennes nécessaires à cette tâche. De même, le fait que le courriel de l'employeur se soit retrouvé dans ses "courriers indésirables" ne suffit pas à diminuer la gravité de la faute commise. En effet, il appartenait à la recourante, dans l'attente d'une réponse à son courriel de candidature, de se montrer particulièrement attentive. Au surplus, à l'instar de l'intimé, on relèvera que l'adresse de l'expéditeur comportait non seulement expressément le nom de la société - contrairement aux allégations de la recourante -, mais également celui de la personne de contact indiquée dans le descriptif de poste joint à l'assignation. En faisant preuve du minimum d'attention requis, la recourante aurait donc pu facilement en identifier la provenance et faire la distinction avec une simple publicité. Dans ces conditions, la Cour de céans considère que la gravité de la faute commise ne peut être atténuée, étant rappelé que la quotité de la sanction tient compte du fait qu'il s'agit d'un premier manquement, mais également du taux d'occupation partiel de la possibilité d'emploi qui a ainsi échoué. C'est donc à juste titre qu'elle a été calculée sur une base de 31 jours. Le recours est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