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A/2351/2019 vom 29. Juni 2021</w:t>
      </w:r>
    </w:p>
    <w:p>
      <w:r>
        <w:t>GE Cour de justice, 2021-06-29, FR</w:t>
      </w:r>
    </w:p>
    <w:p>
      <w:r>
        <w:rPr>
          <w:b/>
        </w:rPr>
        <w:t xml:space="preserve">Quelle: </w:t>
      </w:r>
      <w:r>
        <w:t>https://mcp.opencaselaw.ch/entscheid/ge_gerichte_A_2351_2019</w:t>
      </w:r>
    </w:p>
    <w:p>
      <w:r>
        <w:t>FR: GE_GERICHTE A/2351/2019 du 29 juin 2021</w:t>
      </w:r>
    </w:p>
    <w:p>
      <w:r>
        <w:t>IT: GE_GERICHTE A/2351/2019 del 29 giugno 2021</w:t>
      </w:r>
    </w:p>
    <w:p>
      <w:pPr>
        <w:pStyle w:val="Heading2"/>
      </w:pPr>
      <w:r>
        <w:t>Regeste</w:t>
      </w:r>
    </w:p>
    <w:p>
      <w:r>
        <w:t>SUSPENSION DE LA PROCÉDURE;PRESCRIPTION;DROIT FISCAL;IMPÔT CANTONAL ET COMMUNAL;IMPÔT FÉDÉRAL DIRECT;PROCÉDURE FISCALE;SOUSTRACTION D'IMPÔT;TAXATION CONSÉCUTIVE À UNE PROCÉDURE | Confirmation des rappels d’impôts et des amendes s’agissant de contribuables reconnaissant avoir transféré entre 2007 et 2014 un montant total d’environ CHF 2'500'000.- de leur patrimoine sur des comptes non déclarés. S’ils invoquaient que ces montants devaient taxés à titre de fortune, l’AFC-GE a considéré qu’ils devaient l’être à titre de revenus. Refus de prise en compte de nouvelles déductions dans le cadre de la procédure de rappel d’impôts au motif qu’elles n’ont aucun lien avec les motifs de ladite procédure. | LPA.14.al1; LIPP.72.al1; LIFD.152.al1; LHID.53.al2; LPFisc.61.al1; LIFD.152.al3; LHID.53.al3; LPFisc.61.al3; LIFD.184.al1.letb; LIFD.184.al2; LHID.58.al2; CP.333.al6.letb; LPFisc.77.al1.letb; LPFisc.77.al2; LIFD.184.al2; LHID.58.al3; LPFisc.77.al2; LIFD.184.al1.leta; LHID.58.al1; LPFisc.77.al1.leta; LPFisc.77.al3; LIFD.205.letf; LHID.78.letf; LIFD.16.al1; LHID.7.al1; LIPP.17; aLIPP-IV.1; LIFD.20.al1.letc; aLIPP-IV.6.letc; LIFD.24.leta; aLIPP-IV.10.letc; aLIPP-III.1; LIPP.46; aLIPP-III.2.lete; LIPP.47.lete; LAVS.5.al2; RAVS.7; RAVS.8.letb; LIFD.175.al1; LHID.56.al1; LPFisc.69.al1; LIFD.176.al1; LHID.56.al2; LPFisc.70.al1; LPFisc.70.al2; LIFD.176.al2; LHID.56.al2; LIFD.175.al2; LPFisc.69.al2; LHID.50; LPFisc.54</w:t>
      </w:r>
    </w:p>
    <w:p>
      <w:pPr>
        <w:pStyle w:val="Heading2"/>
      </w:pPr>
      <w:r>
        <w:t>Erwägungen</w:t>
      </w:r>
    </w:p>
    <w:p>
      <w:r>
        <w:rPr>
          <w:b/>
        </w:rPr>
        <w:t>E. 4</w:t>
      </w:r>
    </w:p>
    <w:p>
      <w:r>
        <w:t>octobre 2001 - LPFisc - D 3 17 ; art. 145 de la loi fédérale sur l'impôt fédéral direct du 14 décembre 1990 (LIFD - RS 642.11). 2) Les recourants sollicitent la suspension de l’instruction du recours pour les périodes fiscales 2012 à 2014 jusqu’à droit connu sur la demande de reconsidération qu’ils ont formée auprès de l’autorité intimée pour lesdits exercices fiscaux.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précité consid. 3b). b. En l’espèce, les éléments dont les recourants ont fait état dans leur demande de reconsidération n’ont pas de lien direct avec la procédure de rappel et de soustraction d’impôt présentement litigieuse notamment pour les années 2012 et 2013, comme il le sera exposé ci-après. En outre, le risque de prescription que présente ce dossier conduit également à considérer que la suspension n’apparaît pas indiquée. Les recourants bénéficient enfin de la possibilité de demander à l’autorité intimée de suspendre l’instruction de leur demande de reconsidération, jusqu’au terme définitif de la présente procédure. Dès lors, la demande de suspension de la procédure sera rejetée. 3) a. Le litige concerne les périodes fiscales 2007 à 2014, tant en matière d'ICC que d'IFD, de sorte qu'il convient au préalable d'examiner le droit matériel applicable. b. De jurisprudence constante, les questions de droit matériel sont résolues en fonction du droit en vigueur lors des périodes fiscales litigieuses ( ATA/1727/2019 du 26 novembre 2019 consid. 3a). Le rappel d'impôt relevant du droit matériel, le droit applicable obéit aux mêmes règles (arrêt du Tribunal fédéral 2C_760/2017 du 15 juin 2018 consid. 3). En matière d'ICC,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par les dispositions de l'ancien droit (aLIPP-I à V) pour les périodes fiscales antérieure à 2010 et par le nouveau droit pour celle de 2010, ainsi que par la LIFD dans sa teneur lors des périodes fiscales en cause, sous réserve de l'amende, pour laquelle le principe de la lex mitior s'applique. c. Par ailleurs, la question étant traitée de la même manière en droit fédéral et en droit cantonal harmonisé, le présent arrêt traite simultanément des deux impôts, comme l'admet la jurisprudence ( ATA/463/2020 du 7 mai 2020 consid. 6b). 4)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ATA/600/2020 du 16 juin 2020 consid. 4b). b. Le droit d'introduire une procédure de rappel d'impôt s'éteint dix ans après la fin de la période fiscale pour laquelle la taxation n'a pas été effectuée, alors qu'elle aurait dû l'être, ou pour laquelle la taxation entrée en force était incomplète (art. 152 al. 1 LIFD ; art. 53 al. 2 LHID ; art. 61 al. 1 LPFisc). Le droit de procéder au rappel d'impôt s'éteint quinze ans après la fin de la période fiscale à laquelle il se rapporte (art. 152 al. 3 LIFD ; art. 53 al. 3 LHID ; art. 61 al. 3 LPFisc), ce délai étant un délai de péremption. c. En matière de rappel d’impôts, les réglementations genevoise et fédérale relatives à la péremption sont similaires.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et al. 2 LIFD et art. 58 al. 2 LHID, dans leur teneur en vigueur avant le 1 er janvier 2017, cum art. 333 al. 6 let. b du code pénal suisse du 21 décembre 1937 CP - RS 311.0, en relation avec l'ATF 134 IV 328 ; art. 77 al. 1 let. b et al. 2 LPFisc). La prescription était en outre interrompue par tout acte de procédure tendant à la poursuite du contribuable (art. 184 al. 2 LIFD et 58 al. 3 LHID, dans leur teneur avant le 1 er janvier 2017 ; art. 77 al. 2 LPFisc). Pour sa part, la poursuite de la tentative de soustraction se prescrivait par six ans à compter de la clôture définitive de la procédure au cours de laquelle la tentative de soustraction avait été commise (art. 184 al. 1 let. a et al. 2 LIFD et art. 58 al. 1 et 2 LHID, dans leur teneur en vigueur avant le 1 er janvier 2017 ; art. 77 al. 1 let. a et al. 3 LPFisc). Depuis le 1 er janvier 2017, en matière d’IFD,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(art. 184 al. 1 let. a LIFD). L'art. 58 al. 1, 2 let. a et al. 3 LHID, en vigueur depuis le 1 er janvier 2017, a un contenu identique à celui de l'art. 184 LIFD. Il est directement applicable si les cantons n'ont pas adapté leur législation au 1 er janvier 2017 (art. 72s LHID), ce qui est le cas du canton de Genève (l’art. 77 al. 2 LPFisc diffère de l'art. 58 al. 3 LHID). Selon les art. 184 al. 2 LIFD et 58 al. 3 LHID actuellement en vigueur, la prescription ne court plus si une décision a été rendue par l'autorité cantonale compétente avant l'échéance du délai de prescription. En vertu des art. 205f LIFD et 78f LHID, le nouveau droit est applicable au jugement des infractions commises au cours des périodes fiscales précédant le 1 er janvier 2017 s'il est plus favorable que le droit en vigueur au cours de ces périodes fiscales (arrêts du Tribunal fédéral 2C_41/2020 du 24 juin 2020 consid. 4.3 ; 2C_333/2017 du 12 avril 2018 consid. 8.2).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du Tribunal fédéral 2C_444/2018 du 31 mai 2019 consid. 4.3.3 et les références citées). d. En l'espèce, un avis d'ouverture de la procédure de rappel d'impôt a été notifié aux recourants le 8 mai 2017 pour les périodes fiscales 2007 à 2013. Le délai de péremption de dix ans des art. 152 al. 1 LIFD, 61 al. 1 LPFisc et 53 al. 2 LHID pour introduire une procédure de rappel d'impôt a ainsi été respecté. De même, le délai de quinze ans n’étant pas écoulé, le droit de procéder aux rappels d'impôt n'est pas éteint. En application de l'ancien droit, la poursuite pénale pour la soustraction d’impôt consommée des périodes fiscales 2008 à 2013 n'est pas prescrite, dès lors que le 8 mai 2017, l'AFC-GE a informé les recourants de l'ouverture de la procédure et qu'il ne s'est pas encore écoulé quinze ans depuis la fin de ces périodes. En application du nouveau droit, la poursuite pénale de la soustraction d'impôt consommée ne s'est pas non plus prescrite pour les années 2008 à 2013, dès lors que l'AFC-GE a notifié aux recourants les bordereaux d'amende le 13  décembre 2018 pour ces années, soit avant le délai de dix ans après la fin des périodes fiscales en cause. S'agissant de la poursuite pénale pour l'infraction de tentative de soustraction d'impôt reprochée aux recourants pour la période fiscale 2014, le délai de prescription n'a pas encore commencé à courir dès lors que les bordereaux relatifs à cette année ne sont pas encore entrés en force, ceux-ci faisant entre autre l’objet du présent litige. 5) Les recourants reprochent à l’autorité intimée d’avoir considéré que les versements effectués sur leurs comptes bancaires non déclarés au cours des périodes fiscales 2007 à 2015, pour un montant total de CHF XXX, sont des revenus imposables et de les avoir taxés sous le titre « d'autres revenus » dans les bordereaux litigieux. Ils relèvent dans ce cadre que le TAPI aurait commis plusieurs constatations inexactes et/ou incomplètes des faits. 6) a. L'impôt sur le revenu a pour objet tous les revenus, prestations et avantages de la personne contribuable, qu'ils soient uniques ou périodiques, en espèces ou en nature et quelle qu'en soit l'origine, avant déductions (art. 16 al. 1 LIFD ; art. 7 al. 1 LHID ; art. 17 LIPP ; art. 1 aLIPP-IV). Ces dispositions consacrent la théorie de l'accroissement du patrimoine, respectivement de l'imposition du revenu global net (« Reinvermögenszugangstheorie » ; arrêt du Tribunal fédéral 2C_44/2018 du 31 janvier 2020 consid. 4.1).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 Selon les art. 24 let. a LIFD et 10 let. c aLIPP-IV, sont exonérés de l'impôt les dévolutions de fortune ensuite d'une succession, d'un legs, d'une donation ou de la liquidation du régime matrimonial. b. 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 ATA/1727/2019 du 26.11.2019 consid. 6b et les arrêts cités). Le revenu acquis par un contribuable se compose de tout accroissement de son patrimoine constaté au cours de la période fiscale considérée, ce qui peut provenir tant d'une augmentation des actifs que d'une diminution des passifs ( ATA/1727/2019 précité consid. 6b). 7) Selon les art. 1 aLIPP-III et 46 LIPP, l'impôt sur la fortune a pour objet l'ensemble de la fortune nette après déductions sociales. Sont notamment soumises à l'impôt sur la fortune les créances hypothécaires et chirographaires (art. 2 let. e aLIPP-III et 47 let. e LIPP). 8)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b.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la personne contribuable doit prouver les faits qui diminuent la dette ou la suppriment (ATF 143 II 661 consid. 7.2 ; 140 II 248 consid. 3.5 ; arrêt du Tribunal fédéral 2C_1087/2018 du 29 juillet 2019 consid. 4.1 ; ATA/886/2018 du 4 septembre 2018 consid. 3j ; Ernst BLUMENSTEIN/Peter LOCHER, System des schweizerischen Steuerrechts, 7 ème éd., 2016, p. 518).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 Par ailleurs, quand des indices clairs et précis rendent vraisemblable l'état de fait établi par l'autorité, il revient ensuite au contribuable de réfuter, preuves à l'appui, les faits avancés par celle-ci (arrêts du Tribunal fédéral 2C_111/2012 du 25 juillet 2012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 ; ATA/1191/2015 du 3 novembre 2011 consid. 3a). c.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ATA/844/2020 du 1 er septembre 2020 consid. 4b et les références citées). 9) Le revenu provenant d’une activité dépendante, appelé salaire déterminant, comprend toute rétribution pour un travail dépendant effectué dans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de la loi fédérale sur l’assurance-vieillesse et survivants du 20 décembre 1946 - LAVS - RS 831.10). L’art. 7 du règlement sur l'assurance-vieillesse et survivants du 31 octobre 1947 (RAVS - RS 831.101) détaille les éléments constitutifs du salaire déterminant, et l’art. 8 RAVS énonce des exceptions. Ne sont pas compris dans le salaire déterminant notamment les cotisations de l’employeur aux assureurs maladie et accidents de leurs salariés et aux caisses de compensation pour allocations familiales, si tous les salariés sont traités de la même manière (art. 8 let. b RAVS). Encore faut-il, pour qu’elles ne fassent pas partie du salaire déterminant, que l’employeur les verse directement auxdits assureurs pour ses salariés (ch. 2161 des Directives sur le salaire déterminant dans l’AVS, AI et APG [DSD]). 10) En l’espèce, il convient de rappeler que les recourants ne contestent pas le bien-fondé de la procédure de rappel d’impôts, admettant eux-mêmes avoir commis une soustraction fiscale. Les parties s’accordent, dans les grandes lignes, sur les montants n’ayant pas été déclarés au fisc entre les années 2007 et 2014, estimés à environ CHF XXX par les recourants et à CHF XXX par l’autorité fiscale. Les recourants reprochent au TAPI de ne pas avoir contrôlé les relevés bancaires produits et d’avoir tenu pour établi le montant des apports nets sur les comptes. Toutefois, les recourants ne remettent pas en cause les montants reconstitués par l’AFC-GE dans son tableau des reprises, lesquels ressortent des relevés bancaires produits par les intéressés, de sorte que ceux-ci seront considérés comme étant établis. Les parties divergent en revanche sur la question de savoir comment ces montants doivent être pris en compte (non imposables, impôt sur la fortune, respectivement impôt sur le revenu). Les recourants reconnaissent avoir transféré entre 2007 et 2014 un montant total d’environ CHF XXX de leur patrimoine non déclaré sur leurs comptes bancaires déclarés. Ils exposent que cette somme provient, à raison de CHF XXX, de prélèvements sur les comptes liés à l’activité indépendante de la recourante, de sorte qu’il s’agirait d’une permutation d’actifs non imposable. La somme de CHF XXX, transférée entre 2008 et 2011, devait également être qualifiée de permutation d’actifs non imposable. Le solde de CHF XXX environ provient selon les recourants de la fortune qu’ils avaient accumulée avant 2007, grâce notamment aux revenus élevés du recourant durant de nombreuses années et aux héritages reçus par le recourante, et ne pouvait dès lors être taxé à titre de revenu. L’autorité fiscale considère quant à elle que la somme de CHF XXX, soit le total des liquidités déposées entre 2007 et 2014 sur les comptes bancaires non déclarés doit être qualifiée de revenu et imposée à ce titre. L’autorité fiscale est parvenue à démontrer l’existence d’importantes sommes d’argent qui n’ont pas été déclarées ce qui n’est en tant que tel pas contesté par les recourants , et a rendu vraisemblable au moyen de plusieurs indices que ces montants doivent pour la plupart être qualifiés de revenus. En effet, après avoir évalué la situation financière globale des recourants à savoir les revenus qu’ils ont déclaré avoir réalisés durant leur vie professionnelle, les dépenses de consommation mensuelle hors impôt d’un couple (se situant entre CHF XXX en 2006 et XXX en 2014), leur capacité d’épargne maximale entre 1976 et 2014 (laquelle se montait selon l’AFC-GE à environ CHF XXX) et l’achat de leur bien immobilier sans emprunt bancaire en 2014 pour un montant de EUR XXX, l’autorité intimée est arrivée à la conclusion que les intéressés ne pouvaient avoir épargné la somme de CHF XXX, raison pour laquelle elle a taxé ces montants au titre de revenu. Compte tenu de ce constat et des règles sur le fardeau de la preuve, il appartient aux recourants de réfuter, preuves à l'appui, la qualification retenue par l’autorité intimée et de démontrer que les montants litigieux ne sont pas imposables ou le sont sous l’angle de l’impôt sur la fortune uniquement. En premier lieu, aucune pièce au dossier ne vient étayer la thèse des recourants selon laquelle ils disposaient de CHF XXX environ en espèces en coffre à la banque au début des années 2000, respectivement de CHF XXX en 2007, montant qui aurait régulièrement baissé pour atteindre CHF 0.- à fin 2015. Les recourants ne sauraient être suivis lorsqu’ils allèguent qu’il n’existe aucun motif objectif permettant de remettre en cause leurs déclarations et qu’il ne saurait être exigé de leur part qu’ils prouvent l’existence d’une fortune en coffre datant de plus de vingt ans. À cet égard, il sera relevé que la présente procédure découle précisément de l’absence de déclarations exhaustivement conformes à la réalité des recourants quant à leur situation financière. Par ailleurs, l’impossibilité pour les parties, et plus particulièrement pour les recourants, d’apporter certains éléments de preuve relatifs à la provenance des montants litigieux résulte principalement du comportement de ces derniers, lesquels ont sciemment laissé s’écouler de nombreuses années avant d’apporter des explications sur l’origine des fonds litigieux. Ils ne sauraient dès lors se prévaloir de bonne foi du fait qu’ils ne peuvent apporter certaines pièces probantes compte tenu de leur ancienneté. Le fait que les recourants aient effectivement prouvé avoir détenu deux coffres en banque, ouverts entre 1995 et 2015, respectivement entre 2008 et 2015, et qu’ils aient également indiqué dans le cadre de la procédure pénale qu’ils disposaient d’environ CHF XXX en coffre au début des années 2000, ne saurait constituer des éléments probants permettant d’établir avec précision le montant en coffre au début des périodes fiscales litigieuses. L’impossibilité d’établir avec un minimum de précision et de certitude le montant en espèces qui était en coffre ressort par ailleurs des déclarations des recourants qui ont d’abord indiqué, dans leur courrier du 16 mai 2018, que cette somme s’élevait à CHF XXX à la fin de l’année 2007, avant d’indiquer en cours de procédure que ce montant s’élevait à CHF XXX. Ainsi, l’impossibilité d’établir le montant des avoirs en espèces placés dans le coffre des recourants ne permet pas de retenir, comme ils le soutiennent, qu’ils disposaient d’une fortune en coffre d’environ CHF XXX avant 2007, laquelle devait être considérée comme une permutation d’actifs et ne pouvait dès lors être imposée à titre de revenu. Même à admettre l’existence en coffre de la somme de CHF XXX environ en 2007, il ne pourrait pas être retenu que ce montant proviendrait d’une permutation d’actifs ne pouvant faire l’objet d’une imposition à titre de revenu, dès lors qu’aucune pièce au dossier ne permet de retracer précisément le parcours de ces fonds et leur origine. Les recourants exposent que leur capacité d’épargne était bien plus importante que celle estimée par l’autorité fiscale, dès lors que le recourant avait perçu des revenus annuels oscillant entre CHF XXX et XXX lorsqu'il travaillait à Lausanne, comme l’attestait son certificat de salaire de 1999. Il est vrai que le TAPI a, à tort, retenu qu’à teneur dudit certificat, le salaire annualisé du recourant pouvait être estimé à CHF XXX hors bonus, dès lors qu’il s’agit en réalité du salaire versé durant les mois de janvier à mars 1999. S’il est également exact qu’en annualisant les montants versés durant ces trois mois, on aboutirait à un salaire annuel de CHF XXX, rien ne permet de conclure que le recourant a effectivement perçu de tels revenus durant l’année 1999 ou durant les années précédentes. Il ressort au contraire de son extrait de compte individuel AVS que son salaire annuel le plus élevé pendant qu’il travaillait à Lausanne s’est monté à CHF XXX (en 1996), excepté durant l’année 1999 au cours de laquelle il a perçu, en sus de son salaire, une indemnité de départ de CHF XXX. De même, lorsqu’il a exercé son activité professionnelle auprès de B______ (entre 2001 et 2015), ses revenus annuels n’ont jamais dépassé CHF XXX (en 2013). L’examen des taxations des recourants pour les années 2001 à 2014 (rendues avant la procédure de rappel d’impôt) permet d’ailleurs de constater que les montants annoncés dans leurs déclarations fiscales sont les mêmes que ceux ressortant de l’extrait de compte individuel AVS du recourant. Enfin, les recourants ne sauraient être suivis lorsqu’ils allèguent que le salaire AVS ne correspondrait pas au salaire fiscalement déterminant sous l’angle de l’impôt sur le revenu. En effet, il ressort des dispositions de la LAVS et du RAVS précitées que la quasi-totalité des revenus perçus par un salarié font partie du salaire déterminant, soit les revenus soumis à cotisations tels qu’ils ressortent précisément de l’extrait de compte individuel et en particulier les primes, les indemnités ou les frais de représentation auxquels se réfère le recourant (art. 7 RAVS), à l’exception de ceux mentionnés aux art. 6 al. 2 et 8 RAVS. Or, le recourant n’allègue ni ne prouve que des éléments de salaire non soumis à cotisation au sens des dispositions précitées lui auraient été versés, à l’exception des indemnités journalières pour un montant de CHF 23’732.10 mentionnées dans le certificat de salaire 2014 qu’il a produit. En effet, aucune cotisation à l'AVS n'est perçue sur des indemnités journalières en cas de maladie ou d'accident (art. 6 al. 2 let. b RAVS). Les recourants considèrent que le montant de CHF 1'016'083.15 devrait être porté en déduction des reprises opérées à titre d’« autres revenus » par l’autorité intimée dès lors qu’ils soutiennent avoir prouvé que ce montant provient des comptes étude de la recourante, lesquels avaient déjà été fiscalisés. Or, si la preuve des retraits en espèces sur trois comptes bancaires professionnels de la recourante pour ce montant total a effectivement été apportée, il n’est pas possible de déterminer l’origine de ces fonds. Les recourants exposent que ces comptes étaient constitués du bénéfice de l’activité lucrative indépendante de la recourante, de sa rente AI, de diverses charges n’ayant pas d’impact sur le flux de sa trésorerie mais qu’ils avaient également servi à recevoir des héritages. Il apparaît que ces comptes mêlaient ainsi indifféremment plusieurs sources de revenus et fortune, tant privée que professionnelle. Les pièces bancaires produites (essentiellement des quittances de retrait ou de versement) ne permettent pas de retenir, comme l’allèguent les recourants, que les fonds issus desdits comptes avaient déjà été fiscalisés. Dans un raisonnement en partie similaire, dès lors que certains montants se recoupent, les recourants relèvent également que les pièces bancaires produites permettent d’établir que la somme totale de CHF XXX avait été permutée de la fortune déclarée vers la fortune non déclarée, soit sur le compte « D______ ». Ils précisent que CHF XXX avaient été transférés du compte « E______» déclaré vers le compte « D______ » non déclaré, et que le solde de CHF XXX avait été transféré des comptes déclarés « F______ », « G______ » et « I______ » vers le compte « D______ » non déclaré. Il ressort des pièces bancaires relatives au compte « E______» dont le solde s’élevait à XXX au début du mois d’octobre 2008 qu’entre octobre 2008 et décembre 2011, il a exclusivement été alimenté par les versements de B______ pour le salaire du recourant. Ainsi, comme l’exposent à juste titre les recourants, il est vrai que les sommes prélevées en espèces sur ce compte durant cette même période, pour un total de CHF XXX (CHF XXX en 2008, CHF XXX en 2009, CHF XXX en 2010 et CHF XXX en 2011), ont nécessairement fait l’objet d’une imposition sur le revenu, dès lors que le recourant a effectivement déclaré son salaire dans ses déclarations fiscales. Ces montants ne sauraient dès lors à nouveau être taxés à titre de revenu imposable. En revanche, s’agissant des comptes « F______ », « G______ » et « I______ », les pièces remises, soit majoritairement des quittances de prélèvements et non des relevés de compte complets, ne permettent pas d’établir avec certitude l’origine des fonds qui s’y trouvaient comme exposé ci-avant , de sorte qu’il ne peut être retenu, comme le prétendent les recourants, que les sommes retirées ont déjà été taxées à titre de revenu. Les recourants considèrent avoir apporté la preuve qu’ils détenaient une fortune d’environ CHF XXX constituée par les héritages reçus et qu’ils avaient prélevé ce montant pour le déposer au coffre. L’AFC-GE relève que les recourants ont prouvé avoir reçu à ce titre, par virements bancaires, les sommes de CHF XXX en 1993, CHF XXX en 2004, CHF XXX en 2005 et CHF XXX en 2009, soit un total de CHF XXX, mais rien ne prouve que ces sommes aient été déposées en liquide au coffre. Il est ainsi exact que les recourants ont établi que l’épouse a reçu plusieurs héritages ou avances d’hoirie entre 1993 et 2009. Toutefois, comme le relève à juste titre le TAPI, les pièces remises ne permettent pas d’établir que les montants perçus à ce titre aient été par la suite prélevés en espèces pour être déposés au coffre comme les recourants l’allèguent. Par ailleurs, les montants reçus à titre d’héritage sont compatibles avec les montants annoncés à titre de fortune par les recourants dans leurs taxations initiales pour les années litigieuses s’élevant à plusieurs centaines de milliers de francs chaque année et ne permettent pas d’expliquer en tant que tels les importants transferts d’argent ayant eu lieu entre 2007 et 2014. En outre, les recourants exposent que les apports en espèces pour un total d’environ CHF XXX effectués entre 2007 et 2014 proviennent pour CHF XXX environ de prélèvement sur le compte étude de la recourante alimenté par son activité lucrative indépendante et par des héritages et pour CHF XXX d’économies déposées au coffre avant 2007. Or, pour justifier ces deux sources de fonds, les recourants prennent pour argument l’existence d’héritages. À nouveau, les montants reçus à ce titre n’expliquent pas l’ampleur des montants ayant fait l’objet de reprises. Les recourants reprochent à l’autorité intimée d’avoir estimé que leur capacité d’épargne entre 2001 et 2014 était d’environ CHF XXX mais de n’avoir pas tenu compte de ce montant dans le cadre des reprises effectuées. À cet égard, les recourants semblent perdre de vue que l’AFC-GE a précisément tenu compte de l’existence d’une fortune à la suite des reprises opérées. Ainsi, à titre d’exemple, si la fortune mobilière des recourants retenue dans le cadre de leur taxation initiale 2013 s’élevait à CHF XXX, elle a été portée à CHF XXX dans leur avis de taxation rectificatif 2013 faisant suite à la procédure de rappel d’impôt. Enfin, les recourants reprochent au TAPI de ne pas avoir tenu compte, pour apprécier leur capacité d’épargne, des revenus de leur fortune mobilière non déclarée initialement, lesquels s’élèveraient au total à CHF entre 2008 et 2014. En l’occurrence, l’autorité intimée n’a pas retenu l’existence de rendements de la fortune mobilière à hauteur des montants allégués par les recourants, dès lors qu’elle considère qu’une grande partie des montants non déclarés constituent des revenus et non de la fortune. Cela étant, même à admettre des rendements de la fortune mobilière à hauteur de CHF XXX par an comme l’allèguent les recourants, cela ne remettrait pas en cause la qualification de revenus soumis à l’impôt s’agissant des reprises pour plus de CHF XXX opérées par l’autorité intimée. Pour le surplus, il sera relevé qu’il est pour le moins insolite que les recourants aient mis en place l’opération consistant à placer plus de CHF XXX en liquide dans un coffre non déclaré, puis à vider ce dernier petit à petit à compter de 2007 en plaçant ce montant sur trente-et-un comptes non déclarés auprès de huit établissements bancaires différents si les fonds provenaient à l’origine de revenus déclarés. Même à suivre leur raisonnement selon lequel leur « stratégie » était d’annoncer une fortune équivalente à la déduction sociale sur la fortune afin d’éliminer l’impôt y relatif ceux-ci précisant encore qu’il leur était tout à fait possible pour ce faire de recevoir de l’argent sur un compte bancaire déclaré puis de transférer le montant en liquide au coffre rien n’explique pour quelle raison, si les fonds à l’origine avaient effectivement déjà fait l’objet d’une fiscalisation, les recourants n’ont pas dans leur logique visant à échapper à l’impôt sur la fortune placé lesdits montants sur quelques comptes bancaires non déclarés seulement. Comme le relève à juste titre l’AFC-GE, cela leur aurait alors permis d’obtenir des intérêts importants durant plusieurs années. Cet élément tend également à confirmer que les recourants ne souhaitaient pas qu’il soit possible de remonter à l’origine des fonds, rendant plus que vraisemblable la thèse selon laquelle il s’agit de revenus qui n’ont pas été déclarés lors de leur acquisition. Compte tenu ce qui précède, les reprises devront être confirmées à l’exception de celles relatives à la somme de CHF XXX ayant été transférée du compte « E______» déclaré vers le compte « D______ » non déclaré, dès lors qu’il ne doit pas être taxé à titre de revenu, mais de fortune. 11) À ce stade de la procédure les recourants ne contestent plus le principe des amendes ni la répartition entre eux de celles-ci, mais critiquent en revanche leur quotité qui devrait, selon eux, être ramenée à la moitié de l’impôt soustrait. a. Le contribuable qui, intentionnellement ou par négligence, fait en sorte qu'une taxation ne soit pas effectuée alors qu'elle devrait l'être, ou qu'une taxation entrée en force soit incomplète, est puni d'une amende (art. 175 al. 1 LIFD ; art. 56 al. 1 LHID ; art. 69 al. 1 LPFisc). Celui qui tente de se soustraire à l'impôt sera puni d'une amende (art. 176 al. 1 LIFD ; art. 56 al. 2 LHID ; art. 70 al. 1 et 2 LPFisc). En cas de tentative, l'amende est fixée aux deux tiers de la peine qui serait infligée si la soustraction avait été commise intentionnellement et consommée (art. 176 al. 2 LIFD ; art. 56 al. 2 LHID ; art. 70 al. 2 LPFisc). La quotité de l'amende est, en général, fixée au montant de l'impôt soustrait. Si la faute est légère, l'amende peut être réduite jusqu'au tiers de ce montant ; si la faute est grave, elle peut au plus être triplée (art. 175 al. 2 LIFD ; art. 56 al. 2 LHID ; art. 69 al. 2 LPFisc). Il convient notamment de réduire le montant de l'amende lorsque le contribuable a agi par négligence, celle-ci devant être considérée comme un cas de faute légère au sens de l'art. 175 LIFD ( ATA/1249/2020 du 8 décembre 2020 consid. 9a). 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et les références citées). 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 du pouvoir d'appréciation ( ATA/1249/2020 précité consid. 9b et les références citée). b. En l’espèce, il convient de relever que la soustraction (ou tentative de soustraction) a perduré durant plusieurs années, à savoir sept ans, et a porté sur des montants très importants, à savoir plus de CHF XXX. Ces éléments pèsent en défaveur des recourants. Il y a en particulier lieu de relever que le fait que les montants soustraits relèvent de l’impôt sur le revenu ou de l’impôt sur la fortune est sans incidence ; seule est déterminante l’existence d’une soustraction. Il y a cependant lieu de tenir compte, à leur décharge, de leur bonne collaboration durant la procédure de rappel d'impôt et de l'ancienneté des infractions (art. 48 let. e CP ; arrêt du Tribunal fédéral 2C_78/2019 précité consid. 9.4). Au regard de l'ensemble de ces circonstances, la quotité des amendes, fixée à une fois l'impôt soustrait respectivement à deux tiers des impôts soustraits pour la tentative de soustraction , ne saurait être qualifiée de disproportionnée et ne relève pas d'une violation du droit ou d'un excès du pouvoir d'appréciation. Par conséquent, le jugement du TAPI et les décisions de l'AFC-GE seront, sur ce point également, confirmés. 12) Les recourants sollicitent par ailleurs dans le cadre de leur réplique, et pour la première fois au cours de cette procédure, la déduction, pour les exercices 2012 à 2014, de la dette de CHF XXX, des intérêts passifs à 5% l’an dès le 1 er novembre 2012 ainsi que des intérêts passifs impayés accumulés du 1 er novembre 2012 au 31 décembre 2014 découlant de la procédure pénale à l’issue de laquelle le recourant a été définitivement condamné. 13) Le Tribunal fédéral a rappelé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non pertinentes en l'espèce, s'étendre au-delà de celui-ci (ATF 144 II 359 consid. 4.3). Le Tribunal fédéral a par ailleurs relevé que ni la LIFD, ni la LHID, ni la LPFisc ne contiennent de dispositions particulières dérogeant au principe général selon lequel l'objet de la contestation définit le contenu de la procédure. En effet, tant les art. 140 ss LIFD, qui règlent la procédure devant la première et, le cas échéant, la deuxième instance cantonale de recours, que l'art. 50 LHID, qui traite en général de la « procédure de recours », ne contiennent que les principes de la procédure en question. Quant à la LPFisc, il n'y a dans cette loi, notamment aux art. 44 à 54 LPFisc consacrés à la procédure de recours en matière fiscale, aucune règle permettant une telle dérogation. La possibilité de procéder à une reformatio in pejus , prévue expressément par l'art. 54 LPFisc, permet à l'autorité fiscale et aux autorités judiciaires d'aller au-delà des conclusions des parties et de modifier la décision au désavantage du contribuable, mais elle ne saurait pas pour autant autoriser celles-ci à dépasser le cadre strict de l'objet de la contestation. Il en va de même de la libre appréciation des faits, voire de la possibilité de tenir compte de nova (ATF 144 II 359 consid. 4.4 et les nombreuses références citées). 14) Selon la jurisprudence,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 sous réserve d'une erreur manifeste, celui-ci peut uniquement demander que la taxation soit reprise en sa faveur sur les points qui, précisément font l'objet du rappel d'impôt. Le Tribunal fédéral a alors relevé que cela signifiait, dans l’affaire qui lui était soumise, que la déduction des frais et des charges liés aux revenus imposables du recourant, qui n'avait pas été demandée durant la procédure de taxation initiale, ne pouvait plus être exigée en procédure de rappel d'impôt (arrêt du Tribunal fédéral 2C_1069/2019 du 14 avril 2020 consid. 6.2). 15) En l’espèce, la procédure en rappel d’impôt a été ouverte en lien avec la découverte de comptes bancaires non déclarés, de versements en liquide ayant eu lieu sur ces comptes et de l’existence d’un bien immobilier non déclaré. Dès lors, la dette et les intérêts y relatifs dont les recourants sollicitent la déduction pour les années 2012 à 2013 en lien avec la condamnation pénale du recourant n’ont aucun lien avec la procédure en rappel d’impôts ouverte à leur encontre. Admettre la prise en compte de ces éléments dans la présente procédure reviendrait à autoriser une extension de l'objet de la contestation à de nouvelles déductions, ce qui n'est autorisé par aucune des règles applicables en l'espèce. Par ailleurs, ces mêmes déductions, dans le cadre de la taxation ordinaire pour l’année 2014, ont été sollicitées pour la première fois devant la chambre de céans. Ainsi, ces éléments n'ont pas été examinés par le TAPI et ne font donc pas partie du contenu matériel du jugement de ce dernier. Ils sont dès lors exorbitants au litige. Leur examen à ce stade de la procédure priverait au demeurant les parties de deux degrés de juridiction et ne permettrait pas à la chambre administrative d'exercer sa fonction de contrôle. Par conséquent, les nouvelles conclusions des recourants prises dans le cadre de leur réplique doivent être déclarées irrecevables. 16) Compte tenu de ce qui précède, le recours sera partiellement admis, dans la mesure où il est recevable. Le jugement du TAPI sera modifié en ce sens que le montant de CHF XXX (CHF XXX en 2008, CHF XXX en 2009, CHF XXX en 2010 et CHF XXX en 2011) ne doit pas être taxé à titre de revenu mais de fortune pour les exercices concernés, et confirmé pour le surplus. 17) Vu l'issue du litige, un émolument légèrement réduit de CHF 2'000.- sera mis à la charge des recourants, qui succombent en large partie (art. 87 al. 1 LPA). Une indemnité de procédure de CHF 500.- sera allouée aux recourants, à la charge de l’État de Genève (administration fiscale cantonale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