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A/2339/2007 vom 12. Februar 2008</w:t>
      </w:r>
    </w:p>
    <w:p>
      <w:r>
        <w:t>GE Cour de justice, 2008-02-12, FR</w:t>
      </w:r>
    </w:p>
    <w:p>
      <w:r>
        <w:rPr>
          <w:b/>
        </w:rPr>
        <w:t xml:space="preserve">Quelle: </w:t>
      </w:r>
      <w:r>
        <w:t>https://mcp.opencaselaw.ch/entscheid/ge_gerichte_A_2339_2007</w:t>
      </w:r>
    </w:p>
    <w:p>
      <w:r>
        <w:t>FR: GE_GERICHTE A/2339/2007 du 12 février 2008</w:t>
      </w:r>
    </w:p>
    <w:p>
      <w:r>
        <w:t>IT: GE_GERICHTE A/2339/2007 del 12 febbraio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14 mai 2007 et statuant sur un état de fait juridiquement déterminant remontant pour l'essentiel à l'année 2005, le présent litige sera examiné à la lumière des dispositions de la LPGA. Il convient quoi qu'il en soit de relever que ces dispositions n'ont pas modifié la notion d'invalidité selon l'ancienne LAI et la jurisprudence du TFA y relative est toujours d'actualité. Déposé dans les forme et délai prévus par la loi, le présent recours est recevable (art. 60 LPGA). L'objet du litige porte sur la suppression de la rente d'invalidité jusque-là versée à l'assuré depuis février 2001 , singulièrement le point de savoir si son état de santé s'est amélioré depuis la décision initiale d'octroi de rente.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Pour trancher le présent litige, il convient de comparer la situation du recourant telle qu'elle se présentait le 31 janvier 2002, date de la décision initiale d'octroi de la rente en sa faveur, et celle qui était la sienne au moment de la décision de suppression de la rente, le 14 mai 2007. Il convient de rappeler que l'assuré avait été mis au bénéfice d'une demi-rente depuis novembre 1996 en raison des troubles cardiaques dont il souffrait et qui l'avaient contraint à réduire son activité professionnelle de moitié. Une rente entière lui avait été accordée dès février 2001, compte tenu de la survenance d'une aggravation de son état de santé. Dans son rapport du 4 avril 2001, le Dr A_________ avait en effet ajouté aux diagnostics précédemment posés celui d'état dépressif chronique. Le Dr B_________, psychiatre, avait confirmé, le 23 octobre 2001, la présence de troubles dépressifs et anxieux, d'asthénie et d'insomnies. a) Lors de l'instruction menée dans le cadre de la révision initiée par l'OCAI dès mars 2005, il est apparu que, selon le médecin traitant, les problèmes cardiaques s'étaient aggravés, l'assuré ayant souffert en automne 2004 d'épisodes de flutter auriculaire s'accompagnant d'une augmentation de la dyspnée plus particulièrement à l'effort et ayant nécessité l'ablation par radiofréquence de l'isthme cavo-tricuspidien. Le médecin traitant a ainsi estimé l'incapacité de travail de son patient à 100% ; il ne s'est toutefois pas déterminé quant à une capacité résiduelle de travail dans le cadre d'une activité adaptée, ce malgré la question précise posée par l'OCAI. Dans son rapport d'expertise le 4 décembre 2006, le Dr H_________ a considéré que rien ne s'opposerait à ce que l'assuré puisse effectuer un travail de bureau à 50%, si ce n'est qu'il n'a plus exercé d'activité lucrative depuis plusieurs années. L'OCAI s'est cependant écarté des conclusions du Dr H_________ pour supprimer complètement la rente, considérant qu'en réalité, vu les résultats obtenus lors des tests d'effort, soit 5,5 METs, l'assuré pourrait travailler à plein temps dans un emploi sédentaires, dans le cadre duquel seuls 2,2 METs sont utilisés. Or, le Tribunal de céans constate que le rapport d'expertise du Dr H_________ remplit tous les réquisits de la jurisprudence permettant de lui attribuer pleine valeur probante et que rien ne justifie d'ignorer ses conclusions. Force est en conséquence de constater que l'état de santé de l'assuré, du point de vue cardiaque, n'a subi aucune amélioration, ni depuis 1996, ni depuis 2001. Les troubles cardiaques qui, seuls, avaient justifié l'octroi d'une demi-rente en 1996, auxquelles s'était ajoutée une atteinte psychique dès 2001, sont toujours présents et entravent la capacité de travail d'une manière identique. Il y a ainsi lieu de constater que les conditions de la révision ne sont pas réunies, et que le droit à une demi-rente doit être pour le moins maintenu.</w:t>
      </w:r>
    </w:p>
    <w:p>
      <w:r>
        <w:rPr>
          <w:b/>
        </w:rPr>
        <w:t>E. 12</w:t>
      </w:r>
    </w:p>
    <w:p>
      <w:r>
        <w:t>c) L'assuré ayant également fait état de lombosciatalgies, une expertise a été confiée à une rhumatologue, la Dresse F_________. Celle-ci a retenu certaines limitations fonctionnelles, concluant toutefois que les troubles constatés en relation avec l'appareil moteur n'exerçaient pas d'influence sur la capacité de travail dans l'activité exercée en dernier lieu. Il convient à cet égard de constater que le rapport de la Dresse F_________ a également valeur probante. Reste à déterminer s'il convient de soumettre l'assuré à une expertise pluridisciplinaire, qui ferait appel à un cardiologue, à un rhumatologue et à un psychiatre. Le Tribunal de céans est d'avis que seule une expertise psychiatrique serait utile, l'atteinte cardiologique et les lombosciatalgies ayant déjà fait l'objet d'expertises récentes, respectivement menées par le Dr H_________ et la Dresse F_________, et les constatations de ces deux experts permettant de conclure que l'atteinte cardiologique justifie toujours, à elle seule, en l'état, l'octroi d'une demi-rente et que les lombosciatalgies en revanche n'impliquent aucune incapacité de travail dans une activité de bureau. Aussi le recours doit-il être admis et le dossier renvoyé à l'OCAI pour qu'il procède à une expertise psychiatrique et notifie à l'assuré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