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A/2333/2011 vom 31. Oktober 2011</w:t>
      </w:r>
    </w:p>
    <w:p>
      <w:r>
        <w:t>GE Cour de justice, 2011-10-31, FR</w:t>
      </w:r>
    </w:p>
    <w:p>
      <w:r>
        <w:rPr>
          <w:b/>
        </w:rPr>
        <w:t xml:space="preserve">Quelle: </w:t>
      </w:r>
      <w:r>
        <w:t>https://mcp.opencaselaw.ch/entscheid/ge_gerichte_A_2333_2011</w:t>
      </w:r>
    </w:p>
    <w:p>
      <w:r>
        <w:t>FR: GE_GERICHTE A/2333/2011 du 31 octobre 2011</w:t>
      </w:r>
    </w:p>
    <w:p>
      <w:r>
        <w:t>IT: GE_GERICHTE A/2333/2011 del 31 ottobre 2011</w:t>
      </w:r>
    </w:p>
    <w:p>
      <w:pPr>
        <w:pStyle w:val="Heading2"/>
      </w:pPr>
      <w:r>
        <w:t>Regeste</w:t>
      </w:r>
    </w:p>
    <w:p>
      <w:r>
        <w:t>Notification d'un commandement de payer. Annulation. Plainte admise. Débiteur absent. Le créancier poursuivant doit fournir la bonne adresse actuelle du débiteur. | LP.64à66; LP.69; LP.69.2.1; LP.72</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poursuivi a qualité pour agir par cette voie.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Par ailleurs, le terme adulte n’est pas synonyme de majeur. Doit être considérée comme adulte toute personne dont le développement physique et intellectuel donne l’impression de la maturité (ATF 110 III 9 consid. 2, JdT 1987 II 28 ; ATF 5P.18/2006 du 3 mai 2006 consid. 3.2 à propos de l’art. 14 al. 1 LPC dont la teneur est quasiment identique à celle de l’art. 64 al. 1 LP ; BlSchK 2007, p. 60 consid. 2b ; BlSchK 2006, p. 20 consid. 2a ; Yvan Jeanneret / Saverio Lembo , in CR-LP, n° 22 ss, 24 ad art. 64 LP ; Pierre-Robert Gilliéron , Commentaire ad art. 64 n° 22 ss). .</w:t>
      </w:r>
    </w:p>
    <w:p>
      <w:r>
        <w:rPr>
          <w:b/>
        </w:rPr>
        <w:t>E. 2.2</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 chambre de surveillance. Si le débiteur a eu connaissance du commandement de payer ou de son contenu essentiel (art. 67 et 69 al. 2 ch. 1 LP), en dépit de la notification viciée, cette dernière n’est qu’annulable et le débiteur doit porter plainte devant la chambre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w:t>
      </w:r>
    </w:p>
    <w:p>
      <w:r>
        <w:rPr>
          <w:b/>
        </w:rPr>
        <w:t>E. 2.3</w:t>
      </w:r>
    </w:p>
    <w:p>
      <w:r>
        <w:t>L’annulation sur plainte d’une notification irrégulière suppose toutefois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w:t>
      </w:r>
    </w:p>
    <w:p>
      <w:r>
        <w:rPr>
          <w:b/>
        </w:rPr>
        <w:t>E. 3</w:t>
      </w:r>
    </w:p>
    <w:p>
      <w:r>
        <w:t>Annule la réquisition de continuer la poursuite n° 10 xxxx60 F.</w:t>
      </w:r>
    </w:p>
    <w:p>
      <w:r>
        <w:rPr>
          <w:b/>
        </w:rPr>
        <w:t>E. 4</w:t>
      </w:r>
    </w:p>
    <w:p>
      <w:r>
        <w:t>Constate la nullité de la saisie exécutée dans le cadre de la susdite poursuite.</w:t>
      </w:r>
    </w:p>
    <w:p>
      <w:r>
        <w:rPr>
          <w:b/>
        </w:rPr>
        <w:t>E. 5</w:t>
      </w:r>
    </w:p>
    <w:p>
      <w:r>
        <w:t>Déboute les parties de toutes autres conclusions. Siégeant : Monsieur Daniel Devaud, président; Madame Valérie CARERA et Monsieur Mathieu HOWALD, juges assesseur(e)s ;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