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A/2331/2023 vom 29. Oktober 2024</w:t>
      </w:r>
    </w:p>
    <w:p>
      <w:r>
        <w:t>GE Cour de justice, 2024-10-29, FR</w:t>
      </w:r>
    </w:p>
    <w:p>
      <w:r>
        <w:rPr>
          <w:b/>
        </w:rPr>
        <w:t xml:space="preserve">Quelle: </w:t>
      </w:r>
      <w:r>
        <w:t>https://mcp.opencaselaw.ch/entscheid/ge_gerichte_A_2331_2023</w:t>
      </w:r>
    </w:p>
    <w:p>
      <w:r>
        <w:t>FR: GE_GERICHTE A/2331/2023 du 29 octobre 2024</w:t>
      </w:r>
    </w:p>
    <w:p>
      <w:r>
        <w:t>IT: GE_GERICHTE A/2331/2023 del 29 ottobre 2024</w:t>
      </w:r>
    </w:p>
    <w:p>
      <w:pPr>
        <w:pStyle w:val="Heading2"/>
      </w:pPr>
      <w:r>
        <w:t>Regeste</w:t>
      </w:r>
    </w:p>
    <w:p>
      <w:r>
        <w:t>AMÉNAGEMENT DU TERRITOIRE ET DROIT PUBLIC DES CONSTRUCTIONS;CONSTRUCTION ET INSTALLATION;TRAVAUX DE CONSTRUCTION;TRAVAUX SOUMIS À AUTORISATION;PERMIS DE CONSTRUIRE;AUTORISATION PRÉALABLE;EXCEPTION(DÉROGATION);AUTORISATION DÉROGATOIRE(EN GÉNÉRAL);ZONE À PROTÉGER;4E ZONE B;INTÉGRATION DANS LE PAYSAGE;PROTECTION CONTRE LE BRUIT;BRUIT DU TRAFIC | Recours d’un couple propriétaire et usufruitier d’une parcelle adjacente à celles de la commune et sur lesquelles cette dernière a obtenu une autorisation préalable de construire au centre du village. Dans la mesure où, contrairement à ce que soutiennent les recourants, l’art. 106 al. 1 LCI est applicable même si aucune dérogation n’est nécessaire, qu’il n’est pas démontré qu’ils devront subir des inconvénients graves, que la chambre de céans n’a pas à substituer sa propre appréciation à celle des entités composées de spécialistes quant à la proportionnalité du projet et enfin que la question de l’imperméabilisation des sols sera examinée dans le cadre de la demande définitive de construire, le recours est rejeté. | LCI.5; LCI.106.al1; LCI.146; LAT.14; LAT.17.al1.letc; LaLAT.12.al5; LaLAT.19.al2; LaLAT.29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l’autorisation de construire préalable n° DP 3______ délivrée le 13 juin 2023 et confirmée par le TAPI dans le jugement en cause.</w:t>
      </w:r>
    </w:p>
    <w:p>
      <w:r>
        <w:rPr>
          <w:b/>
        </w:rPr>
        <w:t>E. 3</w:t>
      </w:r>
    </w:p>
    <w:p>
      <w:r>
        <w:t>Aucune construction ou installation ne peut être créée ou transformée sans autorisation de l’autorité compétente (art. 22 al. 1 de la loi fédérale sur l’aménagement du territoire du 22 juin 1979 - LAT - RS 700 ; art. 1 al. 1 LCI). Dès que les conditions légales sont réunies, le département est tenu de délivrer l’autorisation de construire (art. 1 al. 6 LCI). Selon l’art. 5 LCI, la demande préalable tend à obtenir du département une réponse sur l’implantation, la destination, le gabarit, le volume et la dévestiture du projet présenté (al. 1). L’art. 2 al. 1 à 3 LCI (relatif à la demande d’autorisation), l’art. 3 al. 1 à 5 (relatif à la procédure d’autorisation) ainsi que l’art. 4 al. 1 à 3 (relatif aux délais de réponse) sont applicables par analogie à la demande préalable (al. 3). La réponse à la demande préalable régulièrement publiée vaut décision et déploie les effets prévus aux art. 3, 5 al. 1 et 146 LCI (al. 5). L’art. 146 al. 1 LCI prévoit que le recours dirigé contre une autorisation définitive, précédée d’une autorisation préalable en force au sens de l’art. 5 al. 1 LCI, ou d’un PLQ en force, ne peut porter sur les objets tels qu’agréés par ceux-ci. De jurisprudence constante, la demande préalable d’autorisation de construire constitue une demande simplifiée qui peut être présentée avant le dépôt d’un projet définitif. Elle vise à épargner aux intéressés d’être contraints de dresser des plans de détail et à l’administration de compulser de tels plans, tant que les questions de principe ne sont pas résolues. Le but d’une telle demande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En déposant une demande d’autorisation préalable d’implantation, le constructeur cherche à obtenir une décision de principe sur l’implantation, la destination, le gabarit, le volume et la dévestiture du projet. Il s’agit d’éviter d’engager des frais considérables liés à un projet d’envergure, compliqué ou potentiellement controversé, sans obtenir certaines assurances quant au caractère réalisable du projet. 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a pas lieu de passer au stade suivant ( ATA/17/2023 du 10 janvier 2023 consid. 9b et les nombreux arrêts cités). L’octroi d’une autorisation préalable de construire selon l’art. 5 al. 1 LCI constitue ainsi une simple étape vers la délivrance de l’autorisation définitive de construire et revêt un caractère incident alors même que l’autorité compétente tranche définitivement, au niveau cantonal (art. 5 al. 5 et 146 al. 1 LCI), certains éléments déterminants du projet (ATF 135 II 30 consid. 1.3.1 ; arrêt du Tribunal fédéral 1C_594/2017 du 1 er novembre 2017 consid. 2.2 in SJ 2018 I p. 186 ; ATA/807/2020 du 25 août 2020 consid. 4).</w:t>
      </w:r>
    </w:p>
    <w:p>
      <w:r>
        <w:rPr>
          <w:b/>
        </w:rPr>
        <w:t>E. 4</w:t>
      </w:r>
    </w:p>
    <w:p>
      <w:r>
        <w:t>L’art. 14 LAT prévoit que les plans d’affectation règlent le mode d’utilisation du sol (al. 1). Ils délimitent en premier lieu les zones à bâtir, les zones agricoles et les zones à protéger (al. 2). Les zones à protéger comprennent notamment les localités typiques, les lieux historiques, les monuments naturels ou culturels (art. 17 al. 1 let. c LAT). En droit genevois, les plans de zone, qui sont des plans d’affectation du sol, comprennent les zones protégées, qui constituent des périmètres délimités à l’intérieur d’une zone à bâtir ordinaire ou de développement et qui ont pour but la protection de l’aménagement et du caractère architectural des quartiers et localités considérés (art. 12 al. 5 LaLAT). Selon l’art. 19 al. 2 LaLAT, la 4 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Elle est divisée en deux classes : la 4 e zone urbaine (4 e zone A) (let. a) ; la 4 e zone rurale (4 e zone B) applicable aux villages et aux hameaux (let. b 1 re phrase). À teneur de l’art. 29 LaLAT, sont notamment désignées comme zones à protéger les villages protégés, selon les art. 105 à 107 LCI.</w:t>
      </w:r>
    </w:p>
    <w:p>
      <w:r>
        <w:rPr>
          <w:b/>
        </w:rPr>
        <w:t>E. 5</w:t>
      </w:r>
    </w:p>
    <w:p>
      <w:r>
        <w:t>Les recourants soulèvent tout d’abord le grief d’une violation de l’art. 106 al. 1 LCI.</w:t>
      </w:r>
    </w:p>
    <w:p>
      <w:r>
        <w:rPr>
          <w:b/>
        </w:rPr>
        <w:t>E. 5.1</w:t>
      </w:r>
    </w:p>
    <w:p>
      <w:r>
        <w:t>L’art. 106 LCI prévoit que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(al. 1).</w:t>
      </w:r>
    </w:p>
    <w:p>
      <w:r>
        <w:rPr>
          <w:b/>
        </w:rPr>
        <w:t>E. 5.2</w:t>
      </w:r>
    </w:p>
    <w:p>
      <w:r>
        <w:t>Les recourants soutiennent que la décision en cause violerait les buts de la disposition précitée. Selon eux, tout d’abord, le département disposerait de la compétence de fixer l’implantation, le gabarit, le volume et le style des constructions à édifier uniquement lorsque la sauvegarde du caractère architectural et l’échelle de l’environnement bâti du village ne peuvent être garanties que par une dérogation au régime ordinaire. Ils affirment ensuite que l’art. 106 al. 1 LCI aurait seulement vocation à s’appliquer dans l’hypothèse où un projet conforme au régime ordinaire de la quatrième zone constituerait une atteinte excessive au caractère architectural et à l’environnement bâti du village que seule une dérogation permettrait de sauvegarder. Ils exposent que la dérogation de l’art. 106 al. 1 LCI n’aurait en l’espèce pas été octroyée pour sauvegarder le caractère architectural du village, mais pour sauvegarder le projet litigieux après le constat de son infaisabilité. Les recourants soutiennent enfin que le projet en cause serait disproportionné et qu’il ne respecterait pas le caractère architectural du village et de la place dans laquelle les constructions prévues ont vocation à s’insérer. Les recourants ne peuvent être suivis dans leur argumentation. En effet, comme le souligne le département dans sa réponse au recours, l’art. 106 al. 1 LCI précise sans ambiguïté que, dans chaque cas particulier, et donc non uniquement lorsque la sauvegarde du caractère architectural et l’échelle de l’environnement bâti du village ne peuvent être garanties que par une dérogation au régime ordinaire, le département fixe l’implantation, le gabarit, le volume et le style des constructions à édifier. Au surplus, et contrairement à ce que prétendent les recourants, la mise en œuvre de l’art. 106 al. 1 LCI n’est en rien liée à l’octroi d’une dérogation, cette disposition étant applicable même dans l’hypothèse où aucune dérogation n’est nécessaire. Cela ressort par exemple de l’ ATA/232/2006 du 2 mai 2006, sur la base duquel les recourants fondent principalement leur démonstration, le projet litigieux porté devant la justice à cette occasion n’ayant requis aucune dérogation aux dispositions de la LCI (consid. 4b). Cet arrêt précise plus loin que dans les cas où aucune dérogation à la LCI fondée sur l’art. 106 LCI ne doit être examinée, seules restent à examiner les questions de la sauvegarde du caractère architectural et de l’échelle de l’agglomération et du site environnant (consid. 7). Ensuite, et contrairement à ce que les recourants semblent affirmer, l’art. 106 al. 1 LCI, spécialement applicable aux villages protégés, confère un large pouvoir d’appréciation au département. Celui-ci peut fixer lui-même les règles applicables aux constructions dans le but de sauvegarder le caractère d’un village et le site environnant, et déroger aux dispositions ordinaires. Ce large pouvoir d’appréciation et de décision implique la possibilité de refuser un projet qui, ne respectant pas ces prescriptions spéciales, porterait une atteinte excessive au caractère d’un village protégé, soit que les bâtiments existants méritent une protection particulière, soit que le projet en lui-même n’est pas satisfaisant du point de vue de l’intégration (arrêt du Tribunal fédéral 1C_579/2015 du 4 juillet 2016 consid. 3.2). En l’espèce, c’est bien une fois que le département a fixé l’implantation, le gabarit, le volume et le style du projet litigieux après s’être assuré de la sauvegarde du caractère architectural et de l’échelle du village, notamment grâce au préavis de la CMNS, qu’il a dérogé aux distances. Contrairement à ce que soutiennent les recourants, rien n’indique que la dérogation de l’art. 106 al. 1 LCI n’aurait en l’espèce pas été octroyée pour sauvegarder le caractère architectural du village, mais pour sauvegarder le projet litigieux après le constat de son infaisabilité. Du reste, leur argument selon lequel l’art. 106 al. 1 LCI aurait été évoqué a posteriori après qu’ils avaient soulevé la problématique des distances et des vues droites dans leurs observations ne résiste pas à l’examen. En effet, les recourants ont produit leurs observations dans le cadre de l’enquête publique le 27 mars 2023. Or, il ressort du préavis de la DAC rendu le 2 mars 2023 déjà que cette autorité se réfère tant à la problématique soulevée qu’à l’art. 106 LCI.</w:t>
      </w:r>
    </w:p>
    <w:p>
      <w:r>
        <w:rPr>
          <w:b/>
        </w:rPr>
        <w:t>E. 5.3</w:t>
      </w:r>
    </w:p>
    <w:p>
      <w:r>
        <w:t>S’agissant du caractère disproportionné du projet, les premiers juges ont correctement rappelé que l’art. 106 LCI renferme une clause d’esthétique particulière, plus précise que l’art. 15 LCI, soit une notion qui varie selon les conceptions de celui qui l’interprète et selon les circonstances de chaque cas d’espèce ( ATA/934/2019 précité consid. 8b et les références citées). Cette notion juridique indéterminée laisse donc un certain pouvoir d’appréciation à l’administration, celle-ci n’étant limitée que par l’excès ou l’abus du pouvoir d’appréciation (art. 61 al. 2 LPA ; ATA/141/2009 du 24 mars 2009 et les références citées).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 ATA/934/2019 précité consid. 8c ; ATA/537/2017 du 9 mai 2017 consid. 4c ; ATA/956/2014 du 2 décembre 2014 et les références citées). La loi ne prévoit aucune hiérarchie entre les différents préavis requis. Néanmoins, dans le cadre de l’application de l’art. 106 al. 1 LCI où la commune et la CMNS doivent être consultées, la chambre de céans a toujours jugé qu’en cas de préavis divergents, une prééminence était reconnue à celui de la CMNS puisqu’elle est composée de spécialistes en matière d’architecture, d’urbanisme et de conservation du patrimoine (arrêt du Tribunal fédéral 1C_582/2012 du 9 juillet 2013 consid. 5.2). Lorsque sa consultation est imposée par la loi, son préavis, émis à l’occasion d’un projet concret, revêt un caractère prépondérant ( ATA/670/2012 du 2 octobre 2012 consid. 6). Selon la jurisprudence cantonale, la chambre de céans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de céans exerce son pouvoir d’examen avec retenue car celui-ci se compose pour partie de personnes possédant des compétences techniques spécifiques ( ATA/213/2018 du 6 mars 2018 consid. 9 ; ATA/1547/2017 du 28 novembre 2017 consid. 5e et les références citées). Les règles précitées ayant été rappelées, il peut être renvoyé au jugement litigieux (partie en droit, ch. 25) dès lors que les premiers juges ont à juste titre retenu que la commune, puis la CMNS, qui s’est rendue sur place, ont préavisé favorablement le projet, le SMS ayant suivi la CMNS. Ces instances étant composées de spécialistes, la chambre de céans n’a en l’espèce pas à substituer sa propre appréciation à celle de ces entités dont rien ne laisse à penser qu’elles auraient omis des éléments essentiels dans l’analyse du caractère proportionné ou non du projet. Ce premier grief sera en conséquence écarté.</w:t>
      </w:r>
    </w:p>
    <w:p>
      <w:r>
        <w:rPr>
          <w:b/>
        </w:rPr>
        <w:t>E. 6</w:t>
      </w:r>
    </w:p>
    <w:p>
      <w:r>
        <w:t>Les recourants soulèvent ensuite le grief de violation de la non-conformité à la zone. Ils soutiennent que le projet de la commune leur causera, avec une vraisemblance confinant à la certitude, des nuisances importantes et des inconvénients graves. Ils mettent en évidence des nuisances sonores et l’accroissement du trafic.</w:t>
      </w:r>
    </w:p>
    <w:p>
      <w:r>
        <w:rPr>
          <w:b/>
        </w:rPr>
        <w:t>E. 6.1</w:t>
      </w:r>
    </w:p>
    <w:p>
      <w:r>
        <w:t>L’autorisation est délivrée si la construction ou l’installation est conforme à l’affectation de la zone (art. 22 al. 2 let. a LAT). Le droit fédéral et le droit cantonal peuvent poser d’autres conditions (art. 22 al. 3 LAT). Selon l’art. 19 al. 2 LaLAT, cité intégralement au considérant précédent, la 4 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La règle de l’art. 19 al. 2 LaLAT rejoint celle de l’art. 14 al. 1 let. a LCI qui prévoit que le département peut refuser une autorisation lorsqu’une construction ou une installation peut être la cause d’inconvénients graves pour les usagers, le voisinage ou le public ( ATA/883/2014 du 11 novembre 2014 consid. 5). Est réservée l’application de l’ordonnance sur la protection contre le bruit du 15 décembre 1986 (OPB - RS 814.41 ; art. 14 al. 2 LCI).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ATA/825/2024 du 9 juillet 2024 consid. 8.17). La notion d’inconvénients graves est une notion juridique indéterminée qui laisse à l’autorité une liberté d’appréciation et n’est limitée que par l’excès et l’abus de pouvoir ( ATA/987/2024 du 20 août 2024 consid. 6.14 et l’arrêt cité). Selon la jurisprudence constante de la chambre administrative, l’accroissement du trafic routier, s’il est raisonnable, ne crée pas une gêne durable pour la circulation au sens de l’art. 14 LCI ; de fait, l’accroissement du trafic engendré par de nouvelles constructions conformes à la destination de la zone ne constitue pas un inconvénient grave au sens de l’art. 14 LCI ( ATA/206/2024 du 13 février 2024 consid. 6.1 et l’arrêt cité).</w:t>
      </w:r>
    </w:p>
    <w:p>
      <w:r>
        <w:rPr>
          <w:b/>
        </w:rPr>
        <w:t>E. 6.2</w:t>
      </w:r>
    </w:p>
    <w:p>
      <w:r>
        <w:t>En l’espèce, comme cela découle du texte clair de l’art. 19 al. 2 LaLAT, des activités peuvent être autorisées dans la zone litigieuse. Les recourants indiquent craindre des nuisances sonores importantes du fait que le projet, situé à la limite de leur propriété, prévoit un espace public en plein air, deux grands bâtiments d’activités, un parking souterrain, et un parking en surface ainsi que la transformation de l’annexe de la menuiserie en grand espace polyvalent. Ils soulignent que parmi les activités prévues figurent un restaurant scolaire et des activités parascolaires, une salle du conseil municipal et un espace piétonnier auxquels s’ajoutent un espace déchetterie et des jeux pour enfants. Si on ne peut exclure une augmentation des nuisances sonores, les recourants mettant en évidence les comportements possiblement bruyants des enfants, rien ne permet de considérer que ces nuisances doivent être qualifiées de graves. On ne voit pas que le département aurait excédé ou abusé de son pouvoir d’appréciation en autorisant le projet litigieux, même si celui-ci est susceptible d’avoir des effets sur la situation ou le bien-être des recourants, au motif que des enfants pourraient parfois jouer bruyamment, le SABRA n’ayant pour le reste émis aucune réserve quant au bruit engendré par les futures activités, sa réserve portant sur l’éventuelle installation d’une ventilation ou d’une pompe à chaleur. Les premiers juges ont enfin retenu qu’à l’heure actuelle une menuiserie se trouve sur l’une des parcelles concernées et qu’il est patent qu’une telle activité génère un bruit important. Les recourants n’ont pas contesté le TAPI sur ce point. Pour ce qui concerne l’accroissement du trafic routier, s’il est certes difficile pour les recourants d’en apporter la preuve définitive, force est de constater qu’ils se contentent d’affirmer, sans motiver leurs dires au moyen d’une étude ou d’une analyse même sommaire, que les habitants de la commune étant tributaires du mode de déplacement automobile, la création du projet destiné à des activités ne peut qu’engendrer un accroissement majeur du trafic. Cette simple affirmation ne suffit pas à remettre en cause les préavis des deux instances compétentes en la matière, à savoir le SABRA et l’OCT, qui n’ont formulé aucune réserve quant à une éventuelle augmentation du bruit en lien avec le trafic. De manière pertinente, les premiers juges ont retenu, sans être contestés sur ce point, que les écoliers se rendront à pied au restaurant scolaire et aux locaux parascolaires, l’école étant située à moins de 100 m. Le TAPI sera également suivi dans son constat que les activités en lien avec l’administration communale, même à admettre qu’elles induisent une augmentation du trafic automobile, cette dernière ne dépasserait pas ce qui peut être qualifié de raisonnable. L’activité de l’administration doit en effet être mise en lien avec la taille de la commune qui compte moins de 3’000 habitants. En l’état, elle n’est ouverte au public que le matin de 09h00 à 12h00 à l’exception du mardi, jour où elle est ouverte de 09h00 à 12h00 puis de 13h30 à 17h00. Le département ayant agi dans le respect de la loi et de sa liberté d’appréciation, ce grief sera en conséquence également écarté.</w:t>
      </w:r>
    </w:p>
    <w:p>
      <w:r>
        <w:rPr>
          <w:b/>
        </w:rPr>
        <w:t>E. 7</w:t>
      </w:r>
    </w:p>
    <w:p>
      <w:r>
        <w:t>Les recourants soulèvent enfin le grief de la violation de la procédure d’autorisation au motif que le plan de stationnement sur lequel l’OCT a basé son préavis du 1 er juin 2023 n’est pas visé ne varietur . Ils prétendent que le plan liant pour l’autorisation litigieuse serait celui établi le 27 janvier 2023 et visé ne varietur le 13 juin 2023. Ils se plaignent également de ce que l’autorisation litigieuse ne prendrait pas en compte une demande de l’OU relative à l’imperméabilisation des sols.</w:t>
      </w:r>
    </w:p>
    <w:p>
      <w:r>
        <w:rPr>
          <w:b/>
        </w:rPr>
        <w:t>E. 7.1</w:t>
      </w:r>
    </w:p>
    <w:p>
      <w:r>
        <w:t>Il ressort de la procédure que la commune a déposé avec sa demande préalable d’autorisation de construire un plan de stationnement établi le 27 janvier 2023. Dans son premier préavis émis le 13 mars 2023, l’OCT a demandé un projet modifié. En conséquence, la commune a modifié son projet et déposé un plan de stationnement corrigé le 4 mai 2023, le plan de masse N06. L’OCT a ensuite émis son préavis favorable, sous condition, le 1 er juin 2023, sans émettre cette fois de réserve quant au stationnement. Il n’apparaît pas que l’un ou l’autre de ces plans aurait été visé ne varietur . À teneur du jugement litigieux, le département avait expliqué, en réponse à ce grief déjà soulevé par les recourants en première instance, que l’examen du projet sous l’angle des places de stationnement se faisait exclusivement sur la base des plans idoines, en l’occurrence le N06, et qu’ils n’étaient jamais visés ne varietur . Dans sa réponse au recours, le département le confirme. Il peut être donné acte de ce qui précède au département, étant rappelé que l’OCT a quoi qu’il en soit délivré un préavis favorable, sous condition mais sans émettre de réserve s’agissant des places de stationnement après que l’intimée a modifié son projet. Pour illustrer leur grief, les recourants s’appuient, en première instance puis devant la chambre de céans, sur des plans différents selon les instances, ces plans ne semblant au surplus pas pertinents s’agissant des places de stationnement. À l’appui de leur grief devant le TAPI, les recourants ont en effet comparé un plan de rez‑de‑chaussée établi le 27 janvier 2023 et visé ne varietur le 13 juin 2023, avec le plan de stationnement dans sa version du 4 mai 2023. Devant la chambre de céans, ils comparent cette fois un plan d’étage 1 également établi le 27 janvier 2023 et visé ne varietur le 13 juin 2023, avec le même plan de stationnement. Il est dès lors difficile de suivre les recourants dans leur argumentation.</w:t>
      </w:r>
    </w:p>
    <w:p>
      <w:r>
        <w:rPr>
          <w:b/>
        </w:rPr>
        <w:t>E. 7.2</w:t>
      </w:r>
    </w:p>
    <w:p>
      <w:r>
        <w:t>Les recourants soulignent que l’OU a, dans son premier puis dans son second préavis, insisté sur l’imperméabilisation des sols. Ils se plaignent de ce que l’OAC, plutôt que de tenir compte des demandes de modifications formulées par l’OU, a transformé ces demandes en un préavis favorable avec souhaits, cette question revêtant une importance particulière du point de vue environnemental. Les recourants seront renvoyés au jugement litigieux (consid. 29), dans lequel les premiers juges ont examiné ce grief. Ils ont jugé, sans être contredits sur ce point, que la loi n’imposait pas la consultation de l’OU et que même si cet office avait rendu un préavis négatif le département aurait été libre de s’en écarter. Cela étant, dans sa réponse au recours, le département expose que la question de l’imperméabilisation des sols sera quoi qu’il en soit examinée par l’OCEau dans le cadre du dépôt de la demande définitive, ce dont il lui est donné acte. La procédure ayant été conduite conformément au droit, ce grief sera lui aussi écarté. Entièrement mal fondé, le recours sera rejeté.</w:t>
      </w:r>
    </w:p>
    <w:p>
      <w:r>
        <w:rPr>
          <w:b/>
        </w:rPr>
        <w:t>E. 8</w:t>
      </w:r>
    </w:p>
    <w:p>
      <w:r>
        <w:t>Vu l’issue du litige, un émolument de CHF 1'500.- sera mis à la charge solidaire des recourants, qui succombent (art. 87 al. 1 LPA). Il sera alloué à la commune intimée, qui y a conclu et qui compte moins de 10'000 habitants ( ATA/1043/2024 du 3 septembre 2024 consid. 5 et les arrêts cités), une indemnité de procédure de CHF 1'500.-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