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A/232/2017 vom 28. April 2017</w:t>
      </w:r>
    </w:p>
    <w:p>
      <w:r>
        <w:t>GE Cour de justice, 2017-04-28, FR</w:t>
      </w:r>
    </w:p>
    <w:p>
      <w:r>
        <w:rPr>
          <w:b/>
        </w:rPr>
        <w:t xml:space="preserve">Quelle: </w:t>
      </w:r>
      <w:r>
        <w:t>https://mcp.opencaselaw.ch/entscheid/ge_gerichte_A_232_2017</w:t>
      </w:r>
    </w:p>
    <w:p>
      <w:r>
        <w:t>FR: GE_GERICHTE A/232/2017 du 28 avril 2017</w:t>
      </w:r>
    </w:p>
    <w:p>
      <w:r>
        <w:t>IT: GE_GERICHTE A/232/2017 del 28 aprile 2017</w:t>
      </w:r>
    </w:p>
    <w:p>
      <w:pPr>
        <w:pStyle w:val="Heading2"/>
      </w:pPr>
      <w:r>
        <w:t>Regeste</w:t>
      </w:r>
    </w:p>
    <w:p>
      <w:r>
        <w:t>CDP;RETINJ | LP.69.1; LP.71</w:t>
      </w:r>
    </w:p>
    <w:p>
      <w:pPr>
        <w:pStyle w:val="Heading2"/>
      </w:pPr>
      <w:r>
        <w:t>Erwägungen</w:t>
      </w:r>
    </w:p>
    <w:p>
      <w:r>
        <w:rPr>
          <w:b/>
        </w:rPr>
        <w:t>E. 10</w:t>
      </w:r>
    </w:p>
    <w:p>
      <w:r>
        <w:t>février 2017; Que cette situation est constitutive d’un retard inadmissible et injustifié de l’Office, lequel doit être constaté; Qu’en effet, il appartient audit Office de faire diligence dans le traitement des actes de poursuite qui lui parviennent, de sorte qu’un délai de deux mois entre la réception de la réquisition de poursuite et la première tentative de notification du commandement de payer correspondant n’est pas admissible; Qu’il est en outre rappelé à cet égard que la loi ne laisse aucune place à une surcharge de travail ou à une désorganisation dudit Office, même réelle, pour justifier une telle violation du principe de célérité précité;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20 janvier 2017 par A______ Sàrl pour retard injustifié de l’Office des poursuites dans le traitement de sa réquisition de poursuite dirigée le 18 novembre 2016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Messieurs Michel BERTSCHY et Eric DE PREUX,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