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A/2322/2007 vom 9. Oktober 2007</w:t>
      </w:r>
    </w:p>
    <w:p>
      <w:r>
        <w:t>GE Cour de justice, 2007-10-09, FR</w:t>
      </w:r>
    </w:p>
    <w:p>
      <w:r>
        <w:rPr>
          <w:b/>
        </w:rPr>
        <w:t xml:space="preserve">Quelle: </w:t>
      </w:r>
      <w:r>
        <w:t>https://mcp.opencaselaw.ch/entscheid/ge_gerichte_A_2322_2007</w:t>
      </w:r>
    </w:p>
    <w:p>
      <w:r>
        <w:t>FR: GE_GERICHTE A/2322/2007 du 9 octobre 2007</w:t>
      </w:r>
    </w:p>
    <w:p>
      <w:r>
        <w:t>IT: GE_GERICHTE A/2322/2007 del 9 ottobre 2007</w:t>
      </w:r>
    </w:p>
    <w:p>
      <w:pPr>
        <w:pStyle w:val="Heading2"/>
      </w:pPr>
      <w:r>
        <w:t>Regeste</w:t>
      </w:r>
    </w:p>
    <w:p>
      <w:r>
        <w:t>CALCUL DE L'IMPOT; VALEUR FISCALE | L'autorité fiscale n'est pas liée par la valeur comptable d'un bien immobilier commercial pour calculer sa valeur fiscale. | LIPPIII.7 let.a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Un émolument de CHF 1’000.- sera mis à la charge du recourant, qui succombe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