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A/2320/2016 vom 7. Februar 2017</w:t>
      </w:r>
    </w:p>
    <w:p>
      <w:r>
        <w:t>GE Cour de justice, 2017-02-07, FR</w:t>
      </w:r>
    </w:p>
    <w:p>
      <w:r>
        <w:rPr>
          <w:b/>
        </w:rPr>
        <w:t xml:space="preserve">Quelle: </w:t>
      </w:r>
      <w:r>
        <w:t>https://mcp.opencaselaw.ch/entscheid/ge_gerichte_A_2320_2016</w:t>
      </w:r>
    </w:p>
    <w:p>
      <w:r>
        <w:t>FR: GE_GERICHTE A/2320/2016 du 7 février 2017</w:t>
      </w:r>
    </w:p>
    <w:p>
      <w:r>
        <w:t>IT: GE_GERICHTE A/2320/2016 del 7 febbraio 2017</w:t>
      </w:r>
    </w:p>
    <w:p>
      <w:pPr>
        <w:pStyle w:val="Heading2"/>
      </w:pPr>
      <w:r>
        <w:t>Erwägungen</w:t>
      </w:r>
    </w:p>
    <w:p>
      <w:r>
        <w:rPr>
          <w:b/>
        </w:rPr>
        <w:t>E. 1</w:t>
      </w:r>
    </w:p>
    <w:p>
      <w:r>
        <w:t>ère Chambre En la cause Madame A______, domiciliée à CAROUGE recourante contre SERVICE DES PRESTATIONS COMPLÉMENTAIRES, sis route de Chêne 54, GENÈVE intimé EN FAIT 1.        Monsieur A______, titulaire d’une rente d’invalidité, et son épouse, Madame A______ (ci-après l’intéressée), ont été mis au bénéfice de prestations complémentaires à l’AVS/AI à compter du 1 er octobre 1987. ![endif]&gt;![if&gt; 2.        L’époux est décédé en avril 1994.![endif]&gt;![if&gt; 3.        Par décision du 15 décembre 2014, le service des prestations complémentaires (ci-après SPC) a fixé le montant des prestations complémentaires dû à l’intéressée. À titre de fortune, il a tenu compte d’une épargne de CHF 20'549.-.![endif]&gt;![if&gt; 4.        Dans le cadre de la révision périodique de son dossier en juillet 2015, l’intéressée a rempli le formulaire ad hoc le 21 juillet 2015 et a notamment indiqué « néant » au chiffre 11 de la rubrique Ressources (usufruit, droit d’habitation) et au chiffre 2 de la rubrique Fortune (propriété immobilière). À noter que dans les deux formulaires « demande de prestations complémentaires » précédemment remplis les 3 février 1984 et 22 octobre 1987, la même indication était portée à ces deux mêmes rubriques.![endif]&gt;![if&gt; Constatant à la lecture des pièces transmises par l’institut de tutelle et d’assistance aux travailleurs italiens, agissant au nom et pour le compte de l’intéressée, que l’intéressée était titulaire d’un compte bancaire à Milan, le SPC lui a réclamé, le 10 novembre 2015, la production, notamment, d’une « attestation du registre foncier de Milan attestant que vous n’êtes pas propriétaire et/ou usufruitière, à titre personnel et/ou joint d’un bien immobilier à Milan », ainsi que, « si vous êtes propriétaire et/ou usufruitière à titre personnel et/ou joint d’un bien immobilier, - d’une évaluation de la valeur locative actuelle du marché établie par un architecte, un notaire ou agent immobilier, soit le revenu annuel potentiel que pourrait apporter le bien s’il devait être loué) ; - d’une évaluation de la valeur vénale du marché établie par un architecte, un notaire ou agent immobilier, soit le prix de vente potentiel du bien immobilier s’il devait être cédé à des tiers ; - de tout document utile indiquant comment vous êtes devenue propriétaire du bien immobilier, ainsi que sa date de construction ». Le 5 janvier 2016, l’institut de tutelle et d’assistance aux travailleurs italiens a communiqué, notamment, un extrait du registre foncier italien relatif à un bien immobilier sis à Mineo, province de Catano, en Sicile. Le 27 janvier 2016, l’intéressée a transmis, entre autres documents, copie d’un testament public fait devant notaire le 3 janvier 1967, selon lequel feu M.  A______ a désigné son épouse usufruitière de tous ses biens. L’intéressée a précisé qu’ « En ce qui concerne le testament, il est en italien et si vous le souhaitez je pourrai le traduire dans les grandes lignes. Nous avons demandé une évaluation de la maison mais cela prendra quelques temps. Pour votre information, cette maison est située dans un tout petit village en colline (env. 4000 personnes y vivent) et le marché immobilier n’est pas propice car beaucoup de maisons sont en vente soit abandonnées. Il y a deux ans nous avons essayé de la vendre et ils n’offraient que difficilement € 50'000.- à ce jour elle devrait valoir encore moins. En ce qui concerne la location, le marché n’est pas porteur, vu que peu de personnes habitent le village et sont quasi tous propriétaires ». 5.        Par courrier du 26 février 2016, le SPC a fixé à l’intéressée un ultime délai pour qu’elle lui fasse parvenir l’intégralité des documents requis.![endif]&gt;![if&gt; 6.        Le 28 avril 2016, l’intéressée, par l’intermédiaire de sa fille, Madame B______ A______, a transmis au SPC les documents manquants. Elle a joint à son courrier :![endif]&gt;![if&gt; - un acte de donation, daté du 25 janvier 1967, du bien immobilier, en faveur de son époux - le testament de celui-ci la nommant usufruitière dudit bien - l’attestation d’une agence immobilière établie le 31 mars 2016, aux termes de laquelle la valeur de vente du bien immobilier est de 40'000.- euros et celle d’un box 3'000.- euros ; quant à la valeur de location, elle est pour le bien immobilier de 2'000.- euros par année et pour le box, de 250.- euros. 7.        Par décision du 6 mai 2016, le SPC a pris note de ce que la valeur locative annuelle de l’appartement de Mineo et du box était de 2'250.- euros. Il a dès lors repris le calcul des prestations complémentaires dues à l’intéressée depuis le 1 er juin 2009 en fonction de cette valeur locative après l’avoir ajustée pour chaque année en fonction des cours de change annuels moyens publiés par la Banque centrale européenne. Il a ainsi constaté que des prestations complémentaires avaient été versées à tort du 1 er juin 2009 au 29 février 2016 à l’intéressée à hauteur de CHF 18'033.-, et lui en a réclamé le remboursement.![endif]&gt;![if&gt; 8.        L’intéressée, soit pour elle sa fille, a formé opposition le 13 mai 2016. Celle-ci indique que « ni ma mère, ni moi-même, n’avions connaissance de l’obligation de vous annoncer l’usufruit sur la maison détenue en Sicile, l’impact financier en Italie étant nul dans ce cas précis. (…) Après contrôle de vos calculs, nous constatons que la révision concerne la période allant du 1 er juin 2009 au 31 décembre 2015. La prescription étant de cinq ans, nous vous prions dès lors de bien vouloir revoir votre décision concernant le remboursement de CHF 18'033.-. Par ailleurs et au vu de la situation financière de ma mère, je vous informe qu’elle ne sera pas en mesure de rembourser ladite somme et vous prions de bien vouloir lui accorder la remise ».![endif]&gt;![if&gt; 9.        Par décision du 3 juin 2016, le SPC a rejeté l’opposition. Il confirme avoir appliqué le délai de péremption de sept ans en application de l’art. 97 al. 1 du Code pénal. Il rappelle à cet égard qu’il n’a appris que l’intéressée était usufruitière d’un bien immobilier en Italie depuis de nombreuses années que dans le cadre de la révision du dossier en juillet 2015. Il reproche dès lors à l’intéressée d’avoir failli à son obligation d’informer. Constatant par ailleurs que dans son opposition, l’intéressée a également demandé la remise de l’obligation de rembourser la somme de CHF 18'033.-, il indique qu’il se déterminera à ce sujet par décision séparée dès l’entrée en force de la présente.![endif]&gt;![if&gt; 10.    L’intéressée a interjeté recours le 6 juillet 2016. Elle relève que « malheureusement le SPC ne souhaite pas s’entretenir personnellement pour éclaircir la situation et a pris sa décision malgré que je leur mentionnais que nous avions de la peine à regrouper toutes les pièces, ce dont le 17 juin 2016 je leur ai envoyé toutes pièces énumérées dans leur courrier. Je vous saurais gré de prendre en considération ce recours en premier. Je vous enverrai par courrier séparé le dossier complet de l’intéressée afin d’en prendre connaissance ».![endif]&gt;![if&gt; 11.    Dans sa réponse du 31 août 2016, le SPC a considéré que le recours ne satisfaisait pas à l’exigence de motivation et ne contenait par ailleurs aucune conclusion.![endif]&gt;![if&gt; 12.    Invitée à compléter le recours, la fille de l’intéressée a, le 20 septembre 2016, précisé que![endif]&gt;![if&gt; « Il s’est avéré que ma mère est usufruitière d’une maison en Sicile ce dont j’ai pris connaissance à travers cette révision. C’est pour cela qu’il n’a été mentionné nulle part l’usufruit, étant donné que c’est moi-même qui remplissais tous les documents administratifs de ma mère. En Italie, l’usufruit n’est pas imposable ni du point de vue aide sociale ni au niveau des impôts, raison pour laquelle ma mère ne m’en a jamais fait mention. Je tiens à préciser que l’omission de ma mère était involontaire. Par ailleurs, cette maison n’a jamais été mise en location, n’engendrant ainsi aucun revenu quelconque ». Elle souligne par ailleurs que la situation financière de sa mère est très difficile. 13.    Dans sa réponse du 12 octobre 2016, le SPC a conclu au rejet du recours.![endif]&gt;![if&gt;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Le litige porte sur le droit du SPC de réclamer la restitution à l'intéressée des prestations versées à tort du 1 er juin 2009 au 29 février 2016.![endif]&gt;![if&gt; 5.        Aux termes de l'art. 25 al. 1, 1 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2e).![endif]&gt;![if&gt;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6.        Dans le cas d'espèce, l'intéressée a omis d'informer le SPC qu’elle était usufruitière d’un bien immobilier sis en Italie, fait dont le SPC n'a, partant, pas tenu compte dans le calcul des prestations qu'il lui a versées. L’argument de la fille de l’intéressée selon lequel sa mère ne lui a jamais parlé de cet usufruit, du fait que « cette maison n’a jamais été mise en location, n’engendrant ainsi aucun revenu quelconque, et que l’usufruit n’est pas imposable ni du point de vue aide sociale ni au niveau des impôts », relève de l'examen de la bonne foi, à effectuer ultérieurement dans le cadre de la demande de remise. Il y a en effet lieu de rappeler que la restitution de prestations vise à rétablir une situation conforme au droit, sans égard à l'éventuelle bonne foi de l'intéressée. Les conditions pour exiger la restitution des prestations indûment perçues sont ainsi remplies. ![endif]&gt;![if&gt; 7.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![endif]&gt;![if&gt; Sur la question du délai de péremption, la réglementation prévue par l’art. 25 al. 2 1 ère phrase LPGA reprend, matériellement, le contenu des anciens art. 95 al. 4 1 ère phrase LACI et 47 al. 2 1 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des assurances C 271/04 du 21 mars 2006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8.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(arrêt du Tribunal fédéral P 32/01 du 14 août 2001). ![endif]&gt;![if&gt; 9.        En l'espèce, l'intéressée ne conteste pas avoir omis d’informer le SPC de l’existence d’un bien immobilier en Italie avant le 5 janvier 2016, date à laquelle l’institut de tutelle et d’assistance aux travailleurs italiens a produit, en son nom, un extrait du registre foncier italien, suite au courrier du SPC du 10 novembre 2015. Il résulte des pièces figurant dans le dossier que ce n'est que le 28 avril 2016 que le SPC a eu en mains tous les justificatifs concernant l’usufruit dont l’intéressée était bénéficiaire. ![endif]&gt;![if&gt; Selon la jurisprudence, l'obligation du SPC de procéder tous les 4 ans à la révision du dossier ne permet pas de fixer le début du délai de péremption d'un an de l'art. 25 LPGA à la date à laquelle la révision devait avoir lieu.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(arrêt du Tribunal fédéral P 39/05 du 10 juillet 2006). L'intéressée a régulièrement été invitée à vérifier que les plans de calculs correspondaient à la réalité de sa situation. On ne peut donc pas retenir que le SPC aurait pu et dû, en faisant preuve de diligence, connaître plus tôt l'existence de ce bien immobilier. Le délai de péremption d'un an commençant à courir seulement lorsque le SPC dispose de l'ensemble des éléments permettant de réclamer la restitution des prestations indûment perçues, y compris quant au montant dû, ce qui implique de vérifier, après avoir découvert des avoirs dont il ne connaissait pas l'existence, les autres éléments de calcul des prestations, il s'ensuit que c'est dans le délai de péremption d'une année dès la connaissance de toutes les informations utiles que le SPC a demandé la restitution des prestations versées à tort. 10.    L'art. 25 al. 2 LPGA prévoit également que ![endif]&gt;![if&gt; « Le droit de demander la restitution s’éteint (…) au plus tard cinq ans après le versement de la prestation. Si la créance naît d’un acte punissable pour lequel le droit pénal prévoit un délai de prescription plus long, celui-ci est déterminant ». Le délai de péremption absolu de cinq ans commence à courir à la date du versement effectif de la prestation (ATF 112 V 180 consid. 4a; 111 V 14 consid. 3). 11.    En réclamant à l'intéressée le remboursement des prestations versées à tort depuis le 1 er juin 2009, le SPC a appliqué le délai de prescription pénal. ![endif]&gt;![if&gt; 12.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![endif]&gt;![if&gt;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 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À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(arrêt du Tribunal fédéral 8C_592/2007 du 20 août 2008 consid. 5.4.3).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arrêt du Tribunal fédéral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(arrêt du Tribunal fédéral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(arrêt du Tribunal fédéral 6S.288/2000 du 28 septembre 2000 consid. 4b/bb). En revanche, si le SPC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(arrêt du Tribunal fédéral 6S.288/2000 du 28 septembre 2000 consid. 4b/bb). Cela étant, un assuré ne peut commettre de tromperie par omission (dissimulation d’un fait vrai) que s'il se trouve dans une position de garant vis-à-vis de l’autorité. En l'absence de contrat ou de rapport de confiance spécial, seule la loi peut le placer dans une telle situation. Dans l’arrêt non publié 6S.288/2000 du 28 septembre 2000 (consid. 4b/bb), après avoir examiné les dispositions légales applicables (art. 5 al. 2 LPC dans sa teneur jusqu’au 31 décembre 1997, art. 20 OPC-AVS/AI, dans sa version en vigueur du 1 er janvier 1990 au 1 er janvier 1998 et art. 24 OPC-AVS/AI, toujours en vigueur), le Tribunal fédéral a à cet égard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(arrêt du Tribunal fédéral 6S.288/2000 du 28 septembre 2000). La chambre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chambre de céans a retenu que l'examen de ces deux registres publics était une vérification usuelle et suffisante pour l'adresse, une enquête approfondie n'étant pas systématiquement exigible de l'administration, et le seul moyen de vérification pour la qualité d'administrateur ( ATAS/862/2011 ). Dans un arrêt du 10 janvier 2012, la chambre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 ATAS/3/2012 ).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chambre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 ATAS/654/2011 ). Cet arrêt a cependant été annulé par le TF, au motif que rien ne permettait au SPC d'envisager la modification survenue dans la situation financière de l'assuré (arrêt du Tribunal fédéral 9C_622/2011 ; cf. également ATAS/914/2012 du 19 juillet 2012). C'est ainsi que, se fondant a contrario sur cet arrêt du TF, la chambre de céans a estimé dans un cas jugé le 9 avril 2013 ( ATAS/326/2013 ) que l'assuré ne s'était pas rendu coupable d'escroquerie, alors qu'il avait tu l'existence d'une rente française, au motif que le SPC avait été informé de ce qu'il était né en France et y avait vécu jusqu'à l'âge de 37 ans, de sorte qu'il y avait beaucoup de chances qu'il soit mis au bénéfice d'une rente française. Or, le SPC n'avait procédé à aucune investigation qui lui aurait permis de se rendre compte de l'existence d'une telle rente. 13.    En l'espèce, l'intéressée n'a pas déclaré au SPC l’existence d’un bien immobilier sis en Italie dont elle a l’usufruit. Elle a de la sorte violé son obligation d'informer le SPC de tout changement survenu dans sa situation économique et a ainsi commis une tromperie par omission.![endif]&gt;![if&gt; Il y a à cet égard lieu de rappeler que selon les directives concernant les prestations complémentaires à l’AVS et à l’AI (DPC),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(ch. 3482.12).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14.    Reste à déterminer si la violation de l’obligation d’informer le SPC est constitutive d'une tromperie astucieuse. ![endif]&gt;![if&gt; On ne saurait, il est vrai, reprocher au SPC d'avoir fait preuve de négligence puisque celui-ci a satisfait à son obligation d'établir la situation financière de l'assurée (revenus, fortune, dépenses) lors de la détermination initiale du droit aux prestations et que, par la suite, rien ne lui permettait d'envisager la modification survenue. Il y a toutefois lieu de constater, au vu des explications fournies par la fille de l’intéressée, que le fait omis n'est pas un élément de revenu dont cette dernière aurait sciemment caché l'existence au SPC, ce qui explique qu'elle ne lui en ait même pas parlé. Quoi qu'il en soit, le comportement de l'intéressée, qui a certes tu une information déterminante pour l'établissement du montant des prestations qui lui sont versées, ne saurait à lui seul, constituer une tromperie astucieuse, vu l'absence de position de garant de sa part vis-à-vis du SPC (arrêt du Tribunal fédéral du 28 septembre 2000 précité; ATF 127 IV 163 , arrêt du Tribunal fédéral du 3 février 2012 précité; arrêt du Tribunal fédéral du 31 août 2012 8C 791/2011). On ne peut au surplus pas lui reprocher de n'avoir pas réagi aux informations générales reçues annuellement et qui mentionnaient le devoir d'annoncer tout changement dans sa situation personnelle et économique, puisque précisément aucun changement n'est à cet égard survenu depuis sa demande de prestations. La chambre de céans estime, au vu de ce qui précède, que l'assurée ne s'est pas rendue coupable d'escroquerie, à défaut de dissimulation astucieuse. Du reste, elle n’a à aucun moment cherché à cacher l’existence des biens immobiliers. Elle a, dès que la question à propos de biens en Italie lui a été posée, transmis, aussi rapidement que la collecte des documents réclamés le lui permettait, les informations à cet égard. En conséquence, la prescription pénale n'est pas applicable en l'espèce. Seul peut être pris en considération le délai de cinq ans prévu à l'art. 25 al. 2 LPGA, de sorte que la demande de restitution portera sur la période débutant le 1 er juin 2011, et non pas le 1 er juin 2009, tel que retenu par le SPC. Aussi le recours est-il partiellement admis. La décision du 3 juin 2016 est annulée en tant qu'elle réclame la restitution de prestations à compter du 1 er juin 2009, et la cause renvoyée au SPC pour nouveau calcul quant au montant versé à tort, compte tenu d’un délai de prescription de cinq ans. 15.    Il y a enfin lieu de rappeler que la restitution ne peut être exigée lorsque l’intéressé était de bonne foi et qu’elle le mettrait dans une situation difficile (art. 25 al. 1 LPGA). La chambre de céans rappelle que la question de la bonne foi de l'intéressée, de même que celle de la situation financière difficile dans laquelle elle se trouverait si elle devait rembourser les montants perçus à tort, doit faire l'objet d'une demande de remise. Il n'appartient en effet pas à la chambre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