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A/231/2017 vom 28. April 2017</w:t>
      </w:r>
    </w:p>
    <w:p>
      <w:r>
        <w:t>GE Cour de justice, 2017-04-28, FR</w:t>
      </w:r>
    </w:p>
    <w:p>
      <w:r>
        <w:rPr>
          <w:b/>
        </w:rPr>
        <w:t xml:space="preserve">Quelle: </w:t>
      </w:r>
      <w:r>
        <w:t>https://mcp.opencaselaw.ch/entscheid/ge_gerichte_A_231_2017</w:t>
      </w:r>
    </w:p>
    <w:p>
      <w:r>
        <w:t>FR: GE_GERICHTE A/231/2017 du 28 avril 2017</w:t>
      </w:r>
    </w:p>
    <w:p>
      <w:r>
        <w:t>IT: GE_GERICHTE A/231/2017 del 28 aprile 2017</w:t>
      </w:r>
    </w:p>
    <w:p>
      <w:pPr>
        <w:pStyle w:val="Heading2"/>
      </w:pPr>
      <w:r>
        <w:t>Regeste</w:t>
      </w:r>
    </w:p>
    <w:p>
      <w:r>
        <w:t>RETINJ;CDP | LP.69.1; LP.71</w:t>
      </w:r>
    </w:p>
    <w:p>
      <w:pPr>
        <w:pStyle w:val="Heading2"/>
      </w:pPr>
      <w:r>
        <w:t>Volltext</w:t>
      </w:r>
    </w:p>
    <w:p>
      <w:r>
        <w:t>Genève Cour de Justice (Cour civile) Chambre de surveillance en matière de poursuite et faillites 28.04.2017 A/231/2017</w:t>
      </w:r>
    </w:p>
    <w:p>
      <w:r>
        <w:t>RETINJ;CDP | LP.69.1; LP.71</w:t>
      </w:r>
    </w:p>
    <w:p>
      <w:r>
        <w:t>A/231/2017 DCSO/214/2017 du 28.04.2017 ( PLAINT ) , ADMIS Descripteurs : RETINJ;CDP Normes : LP.69.1; LP.71 Par ces motifs RÉPUBLIQUE ET CANTON DE GENÈVE POUVOIR JUDICIAIRE A/231/2017-CS DCSO/214/17 DECISION DE LA COUR DE JUSTICE Chambre de surveillance des Offices des poursuites et faillites DU VENDREDI 28 AVRIL 2017 Plainte 17 LP (A/231/2017-CS) formée en date du 20 janvier 2017 par A______ , élisant domicile en l'étude de Me Philippe CURRAT, avocat. * * * * * Décision communiquée par courrier A à l'Office concerné et par plis recommandés du greffier du 2 mai 2017 à : - A______ c/o Me Philippe CURRAT, avocat Currat &amp; Associés Rue de Saint-Jean 73 1201 Genève. - Monsieur Philippe DUFEY, Préposé . - Office des poursuites . Vu, EN FAIT , la réquisition de poursuite expédiée le 18 novembre 2016 à l’Office des poursuites (ci-après : l’Office) par le conseil de A______ (ci-après : le créancier) à l’encontre de B______ SA (ci-après : le débiteur); Attendu que par courrier recommandé du 5 janvier 2017, le créancier a interpellé l’Office sur la suite donnée à cette réquisition de poursuite; Qu’il n’a obtenu aucune réponse à cette interpellation; Attendu que par acte expédié le 20 janvier 2017 au greffe de la Chambre de surveillance des Offices des poursuites et des faillites (ci-après : la Chambre de surveillance), le créancier s’est plaint d'un retard injustifié dans le traitement de la réquisition de poursuite précitée; Qu’il a conclu à ce que la Chambre de surveillance intervienne auprès de l'Office afin que le commandement de payer correspondant soit immédiatement notifié à son débiteur; Que dans le délai imparti pour déposer ses observations au sujet de cette plainte, l'Office a admis, le 10 février 2017, n’avoir pas encore édité, à cette date, le commandement de payer correspondant à la réquisition de poursuite en cause; Qu’il a précisé l’avoir fait le jour même sous le n° de poursuite 16 xxxx00 L, cet acte de poursuite devant en outre être adressé le 13 février suivant au service compétent en vue de sa notification au débiteur; Qu’il a expliqué son retard par ceux intervenus, d’une manière générale, dans le traitement des réquisitions de poursuite qu’il avait reçues depuis la mise en production de son nouvel outil informatique;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 9 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reçue par l’Office le 18 novembre 2016; Qu’il n’a cependant édité le commandement de payer correspondant, poursuite n° 16 xxxx00 L, que près de quatre mois plus tard, à la suite de la réception de la présente plainte; Que cette situation est constitutive d’un retard inadmissible et injustifié de l’Office, lequel doit être constaté; Qu’en effet, il appartient audit Office de faire diligence dans le traitement des actes de poursuite qui lui parvienne, de sorte qu’un délai de près de trois mois entre la réception de la réquisition de poursuite et la première tentative de notification du commandement de payer correspondant n’est pas admissible; Qu’il est en outre rappelé à cet égard que la loi ne laisse aucune place à une surcharge de travail ou à une désorganisation dudit Office, même réelle, pour justifier une telle violation du principe de célérité précité; Qu’en particulier, des problèmes informatiques ne constituent en aucun cas des faits de nature à justifier le retard apporté par l'Office à l'exécution des mesures qui lui incombent légalement (ATF 107 III 3 ;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20 janvier 2017 par A______ pour retard injustifié de l’Office des poursuites dans le traitement de sa réquisition de poursuite dirigée le 18 novembre 2016 contre B______ SA.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Messieurs Michel BERTSCHY et Eric DE PREUX, juges assesseurs;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