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A/231/2005 vom 9. November 2006</w:t>
      </w:r>
    </w:p>
    <w:p>
      <w:r>
        <w:t>GE Cour de justice, 2006-11-09, FR</w:t>
      </w:r>
    </w:p>
    <w:p>
      <w:r>
        <w:rPr>
          <w:b/>
        </w:rPr>
        <w:t xml:space="preserve">Quelle: </w:t>
      </w:r>
      <w:r>
        <w:t>https://mcp.opencaselaw.ch/entscheid/ge_gerichte_A_231_2005</w:t>
      </w:r>
    </w:p>
    <w:p>
      <w:r>
        <w:t>FR: GE_GERICHTE A/231/2005 du 9 novembre 2006</w:t>
      </w:r>
    </w:p>
    <w:p>
      <w:r>
        <w:t>IT: GE_GERICHTE A/231/2005 del 9 novembre 2006</w:t>
      </w:r>
    </w:p>
    <w:p>
      <w:pPr>
        <w:pStyle w:val="Heading2"/>
      </w:pPr>
      <w:r>
        <w:t>Erwägungen</w:t>
      </w:r>
    </w:p>
    <w:p>
      <w:r>
        <w:rPr>
          <w:b/>
        </w:rPr>
        <w:t>E. 6</w:t>
      </w:r>
    </w:p>
    <w:p>
      <w:r>
        <w:t>En l'occurrence, se trouvent au dossier une expertise rhumatologique ainsi qu'une expertise psychiatrique. Il convient de vérifier si elles permettent de renverser la présomption selon laquelle la fibromyalgie dont est atteinte l'assurée ou ses effets peuvent être surmontés par un effort de volonté raisonnablement exigible. A cet égard, on vérifiera en premier lieu la présence d'une comorbidité psychiatrique importante par sa gravité, son acuité et sa durée. Sur ce point. il convient de se référer en premier lieu au rapport d'expertise du Dr F__________. Or le Dr F__________ n'a relevé aucune limitation majeure sur le plan social et estimé que seules les douleurs dont se plaignait la patiente l'empêchaient d'exercer une activité lucrative. Certes, il a conclu que, du point de vue psychiatrique seul, une reprise du travail n'était pas raisonnablement exigible, cependant, il n'a posé aucun diagnostic psychiatrique et a constaté que la patiente ne manifestait pas de signes évidents d'anxiété ou de dépression. Il faut donc nier l'existence d'une comordité psychiatrique d'une acuité et d'une durée suffisantes au sens de la jurisprudence pour reconnaître un caractère invalidant à la fibromyalgie de la recourante. Se pose dès lors la question de la réalisation éventuelle d'autres critères dont le cumul permet d'admettre le caractère invalidant de la fibromyalgie. A l'examen des expertises des Drs C__________ et N__________, on peut tenir pour établi l'existence d'affections corporelles chroniques sous forme de douleurs mais il est précisé que ces dernières sont sans substrat organique. Par ailleurs, force est de constater que la recourante ne subit pas de perte d'intégration sociale dans toutes les manifestations de la vie, même s'il est admis que son trait de caractère obsessionnel a pour conséquence qu'elle n'apprécie ni les visites ni les sorties. Il ressort en effet de l'expertise du Dr H__________ que ce trait de caractère est antérieur à la fibromyalgie, qu'il a probablement constitué un terrain psychologique fragile favorable à l'émergence de cette dernière et que les capacités d'adaptation s'en trouvent donc diminuées mais non pas épuisées. Par ailleurs, il n'apparaît pas qu'il y ait eu un repli social significatif depuis l'apparition de la maladie. On ne saurait davantage conclure à l'existence d'un état psychique cristallisé ni à l'échec de traitements conformes aux règles de l'art sans évolution possible au plan thérapeutique puisque la recourante, à l'époque de la décision initiale de l'OCAI, soit le 29 juin 2004, n'avait vu et consulté un psychiatre qu'à deux reprises. Au vu de l'ensemble de ces éléments, on doit nier - d'un point de vue juridique - le caractère invalidant de sa fibromyalgie. Partant, l'OCAI n'avait effectivement pas à mettre sur pied une enquête ménagère puisque la conditions préalable à cette dernière - soit le caractère invalidant de l'atteinte à la santé - n'a pas été reconnue. Eu égard aux considérations qui précèdent, la recourante ne saurait prétendre à des prestations de l'assurance-invalidité. Le recours, mal fondé, sera par conséquent rejeté, étant précisé que l'assurée pourra, si elle estime qu'il y a eu aggravation de son état de santé postérieure à la décision litigieuse, déposer une nouvelle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