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A/2315/2020 vom 26. August 2020</w:t>
      </w:r>
    </w:p>
    <w:p>
      <w:r>
        <w:t>GE Cour de justice, 2020-08-26, FR</w:t>
      </w:r>
    </w:p>
    <w:p>
      <w:r>
        <w:rPr>
          <w:b/>
        </w:rPr>
        <w:t xml:space="preserve">Quelle: </w:t>
      </w:r>
      <w:r>
        <w:t>https://mcp.opencaselaw.ch/entscheid/ge_gerichte_A_2315_2020</w:t>
      </w:r>
    </w:p>
    <w:p>
      <w:r>
        <w:t>FR: GE_GERICHTE A/2315/2020 du 26 août 2020</w:t>
      </w:r>
    </w:p>
    <w:p>
      <w:r>
        <w:t>IT: GE_GERICHTE A/2315/2020 del 26 agosto 2020</w:t>
      </w:r>
    </w:p>
    <w:p>
      <w:pPr>
        <w:pStyle w:val="Heading2"/>
      </w:pPr>
      <w:r>
        <w:t>Volltext</w:t>
      </w:r>
    </w:p>
    <w:p>
      <w:r>
        <w:t>Genève Cour de justice (Cour de droit public) Chambre administrative 26.08.2020 A/2315/2020</w:t>
      </w:r>
    </w:p>
    <w:p>
      <w:r>
        <w:t>A/2315/2020 ATA/817/2020 du 26.08.2020 ( MARPU ) , REFUSE Parties : SERVICE DÉPANNAGE GENÈVE SA / CARROSSERIE DE CHATELAINE SA, DIRECTION GÉNÉRALE DES FINANCES DE L'ETAT, GARAGE S.V.P. SA RÉPUBLIQUE ET CANTON DE GENÈVE POUVOIR JUDICIAIRE A/2315/2020 - MARPU ATA/817/2020 COUR DE JUSTICE Chambre administrative Décision du 26 août 2020 sur octroi de l'effet suspensif dans la cause SERVICE DÉPANNAGE GENÈVE SA représentée par Me Jacques Roulet, avocat contre CARROSSERIE DE CHÂTELAINE SA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9 (projet n° 202487, annonce 1147021) en faveur de Garage SVP SA et Carrosserie de Châtelaine SA. 12) Par acte remis au guichet le 3 août 2020, SDG a recouru à la chambre administrative contre la décision de la CCA du 20 juillet 2020 d'attribuer le lot n° 9 (projet n° 202487, annonce 1147021) à Garage SVP SA et Carrosserie de Châtelaine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A/2315/2020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Carrosserie de Châtelaine SA (le 10 août 2020) et Garage SVP SA (le 11 août 2020)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la Carrosserie de Châtelaine SA, au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