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A/2302/2021 vom 2. Juni 2022</w:t>
      </w:r>
    </w:p>
    <w:p>
      <w:r>
        <w:t>GE Cour de justice, 2022-06-02, FR</w:t>
      </w:r>
    </w:p>
    <w:p>
      <w:r>
        <w:rPr>
          <w:b/>
        </w:rPr>
        <w:t xml:space="preserve">Quelle: </w:t>
      </w:r>
      <w:r>
        <w:t>https://mcp.opencaselaw.ch/entscheid/ge_gerichte_A_2302_2021</w:t>
      </w:r>
    </w:p>
    <w:p>
      <w:r>
        <w:t>FR: GE_GERICHTE A/2302/2021 du 2 juin 2022</w:t>
      </w:r>
    </w:p>
    <w:p>
      <w:r>
        <w:t>IT: GE_GERICHTE A/2302/2021 del 2 giugno 2022</w:t>
      </w:r>
    </w:p>
    <w:p>
      <w:pPr>
        <w:pStyle w:val="Heading2"/>
      </w:pPr>
      <w:r>
        <w:t>Erwägungen</w:t>
      </w:r>
    </w:p>
    <w:p>
      <w:r>
        <w:rPr>
          <w:b/>
        </w:rPr>
        <w:t>E. 5</w:t>
      </w:r>
    </w:p>
    <w:p>
      <w:r>
        <w:t>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6</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2).![endif]&gt;![if&gt;</w:t>
      </w:r>
    </w:p>
    <w:p>
      <w:r>
        <w:rPr>
          <w:b/>
        </w:rPr>
        <w:t>E. 7</w:t>
      </w:r>
    </w:p>
    <w:p>
      <w:r>
        <w:t>![endif]&gt;![if&gt;</w:t>
      </w:r>
    </w:p>
    <w:p>
      <w:r>
        <w:rPr>
          <w:b/>
        </w:rPr>
        <w:t>E. 7.1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7.2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3.3).![endif]&gt;![if&gt;</w:t>
      </w:r>
    </w:p>
    <w:p>
      <w:r>
        <w:rPr>
          <w:b/>
        </w:rPr>
        <w:t>E. 8</w:t>
      </w:r>
    </w:p>
    <w:p>
      <w:r>
        <w:t>![endif]&gt;![if&gt;</w:t>
      </w:r>
    </w:p>
    <w:p>
      <w:r>
        <w:rPr>
          <w:b/>
        </w:rPr>
        <w:t>E. 8.1</w:t>
      </w:r>
    </w:p>
    <w:p>
      <w:r>
        <w:t>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8.2</w:t>
      </w:r>
    </w:p>
    <w:p>
      <w:r>
        <w:t>Une modification notable du taux d’invalidité au sens de l’art. 17 LPGA suppose toujours un changement des circonstances de fait de nature à réduire ou à augmenter le taux d’invalidité. Il peut s’agir d’un changement dans les circonstances personnelles de la personne assurée, relatives à son état de santé ou à des facteurs économiques, de même que d’une modification des circonstances (hypothétiques) ayant déterminé le choix de la méthode d’évaluation de l’invalidité (Margit MOSER-SZELESS in Commentaire romand, Loi sur la partie générale des assurances sociales, n. 11 ad art. 17 LPGA). ![endif]&gt;![if&gt;</w:t>
      </w:r>
    </w:p>
    <w:p>
      <w:r>
        <w:rPr>
          <w:b/>
        </w:rPr>
        <w:t>E. 8.3</w:t>
      </w:r>
    </w:p>
    <w:p>
      <w:r>
        <w:t>Le fait de changer d’emploi est déterminant sous l'angle de la révision au sens de l'art. 17 LPGA, dans la mesure où cela a des effets sur les fondements de l'évaluation de l'invalidité. Le Tribunal fédéral a souligné que dès lors que le degré d'invalidité initial a été fixé en fonction de rapports de travail déterminés et que ceux-ci ont pris fin pour des raisons qui n'apparaissent pas liées à la péjoration de l'état de santé de l'assuré, le changement de l'activité professionnelle doit être pris en considération pour évaluer à nouveau la perte de gain en résultant pour l'assuré (arrêts du Tribunal fédéral 9C_33/2016 du 16 août 2016 consid. 8.1 et 9C_530/2012 du 21 septembre 2012 consid. 3). ![endif]&gt;![if&gt;</w:t>
      </w:r>
    </w:p>
    <w:p>
      <w:r>
        <w:rPr>
          <w:b/>
        </w:rPr>
        <w:t>E. 8.4</w:t>
      </w:r>
    </w:p>
    <w:p>
      <w:r>
        <w:t>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du règlement sur l’assurance-invalidité du 17 janvier 1961 (RAI - RS 831.201).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![endif]&gt;![if&gt;</w:t>
      </w:r>
    </w:p>
    <w:p>
      <w:r>
        <w:rPr>
          <w:b/>
        </w:rPr>
        <w:t>E. 9</w:t>
      </w:r>
    </w:p>
    <w:p>
      <w:r>
        <w:t>![endif]&gt;![if&gt;</w:t>
      </w:r>
    </w:p>
    <w:p>
      <w:r>
        <w:rPr>
          <w:b/>
        </w:rPr>
        <w:t>E. 9.1</w:t>
      </w:r>
    </w:p>
    <w:p>
      <w:r>
        <w:t>En vertu de l'art. 36 al. 2 LAI, les dispositions de la loi fédérale sur l’assurance-vieillesse et survivants du 20 décembre 1946 (LAVS - RS 831.10) sont applicables par analogie au calcul des rentes ordinaires. Le Conseil fédéral peut édicter des dispositions complémentaires. Ces dispositions sont ancrées aux art. 29 bis à 33 ter LAVS. Conformément à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du décès). Conformément à l’art. 52 du règlement sur l’assurance-vieillesse et survivants du 31 octobre 1947 (RAVS - RS 831.101), les rentes partielles sont déterminées en fonction du rapport en pourcent entre les années complètes de cotisation de l’assuré et celles de sa classe d’âge.</w:t>
      </w:r>
    </w:p>
    <w:p>
      <w:r>
        <w:rPr>
          <w:b/>
        </w:rPr>
        <w:t>E. 9.2</w:t>
      </w:r>
    </w:p>
    <w:p>
      <w:r>
        <w:t>Dans le cas d’une révision au sens de l’art. 17 LPGA, les bases de calcul pour le nouveau montant de la rente (échelle de rente et revenu annuel moyen déterminant) restent les mêmes que celles appliquées pour la rente allouée jusque-là (ATF 126 V 157 consid. 6 ; arrêt du Tribunal fédéral 8C_775/2015 du 21 mars 2016 consid. 2.1.1). Le Tribunal fédéral a récemment confirmé qu’il convient d’appliquer à la détermination du nouveau montant de la rente les mêmes bases de calcul que celles appliquées jusque-là (ATF 147 V 133 consid. 5.1 et 5.4)![endif]&gt;![if&gt;</w:t>
      </w:r>
    </w:p>
    <w:p>
      <w:r>
        <w:rPr>
          <w:b/>
        </w:rPr>
        <w:t>E. 10</w:t>
      </w:r>
    </w:p>
    <w:p>
      <w:r>
        <w:t>![endif]&gt;![if&gt;</w:t>
      </w:r>
    </w:p>
    <w:p>
      <w:r>
        <w:rPr>
          <w:b/>
        </w:rPr>
        <w:t>E. 10.1</w:t>
      </w:r>
    </w:p>
    <w:p>
      <w:r>
        <w:t>Pour pouvoir examiner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11</w:t>
      </w:r>
    </w:p>
    <w:p>
      <w:r>
        <w:t>![endif]&gt;![if&gt;</w:t>
      </w:r>
    </w:p>
    <w:p>
      <w:r>
        <w:rPr>
          <w:b/>
        </w:rPr>
        <w:t>E. 11.1</w:t>
      </w:r>
    </w:p>
    <w:p>
      <w:r>
        <w:t>En l’espèce, il convient en préambule d’écarter le reproche du recourant, qui affirme que la décision de l’intimé ne pouvait être rendue avant la stabilisation de son état de santé. Si la législation en matière d’assurance-accidents prévoit que le droit à la rente prend naissance dès qu’il n’y a plus lieu d’attendre de la continuation du traitement médical une sensible amélioration de l’état de l’assuré et que les éventuelles mesures de réadaptation de l’assurance-invalidité ont été menées à terme (art. 19 al. 1 de la loi fédérale sur l'assurance-accidents du 20 mars 1981 (LAA - RS 832.20]) ou, en d’autres termes, lorsque l’état de santé de l’intéressé est stabilisé, ce principe ne s’applique pas à l’assurance-invalidité. Dans le cas contraire, les organes de l’assurance-invalidité seraient fondés à surseoir indéfiniment à l’octroi d’une rente en cas de troubles chroniques s’aggravant avec le temps, ce qui n’est guère souhaitable. L’institution de la révision permet en outre précisément de tenir compte d’une amélioration ou d’une aggravation survenue après qu’une décision tranchant le droit à la rente a été rendue.</w:t>
      </w:r>
    </w:p>
    <w:p>
      <w:r>
        <w:rPr>
          <w:b/>
        </w:rPr>
        <w:t>E. 11.2</w:t>
      </w:r>
    </w:p>
    <w:p>
      <w:r>
        <w:t>Sur le fond, le SMR a admis une incapacité de travail totale dès le 27 janvier 2016, définitive dans l’activité de maçon, mais une capacité de travail dans une activité adaptée de 50 % du 2 novembre au 26 décembre 2017, puis entière dès le lendemain.![endif]&gt;![if&gt; Sur ce point, la position du SMR reprend les conclusions de l’expertise du Dr B______, que ne contredit aucun élément médical au dossier. Il n’existe en effet pas de rapport de médecin susceptible de mettre en doute cette appréciation. Les médecins qui ont suivi le recourant aux HUG ont également admis dans leur rapport de novembre 2017 la possibilité d’une réadaptation dès septembre 2017 déjà, sans formellement se prononcer sur le taux auquel une activité adaptée pouvait être exercée. Il y a ainsi lieu de confirmer le taux d’invalidité établi par l’intimé durant cette période, qui n’est au demeurant pas expressément contesté par le recourant.</w:t>
      </w:r>
    </w:p>
    <w:p>
      <w:r>
        <w:rPr>
          <w:b/>
        </w:rPr>
        <w:t>E. 11.3</w:t>
      </w:r>
    </w:p>
    <w:p>
      <w:r>
        <w:t>Dès décembre 2019, le SMR a retenu que la capacité de travail dans toute activité s’était réduite à 50 %. Sur ce point, il s’est également rallié aux conclusions des médecins traitants, notamment celles de la Dresse C______, qui constatait une aggravation dès cette date. Cette neurologue a par la suite confirmé l’incapacité de travail de 50 % du recourant dans ses rapports du 8 septembre, du 20 octobre 2020, du 8 juin 2021 et du 7 février 2022. Le Dr D______ a également indiqué que la capacité de travail du recourant était de 50 % en octobre 2020. On soulignera enfin que l’inscription du recourant à l’assurance-chômage en novembre 2021 indiquait également une disponibilité à mi-temps.</w:t>
      </w:r>
    </w:p>
    <w:p>
      <w:r>
        <w:rPr>
          <w:b/>
        </w:rPr>
        <w:t>E. 11.4</w:t>
      </w:r>
    </w:p>
    <w:p>
      <w:r>
        <w:t>La décision de l’intimé était ainsi parfaitement conforme aux éléments médicaux du dossier en sa possession lorsqu’elle a été rendue. Le recourant ne peut être suivi en tant qu’il reproche à l’intimé d’avoir retenu une capacité de travail de 50 % dans une activité adaptée, à défaut de tout document médical étayant l’allégation selon laquelle il n’aurait pas été capable de travailler à ce taux. C’est également à juste titre, s’agissant de la période courant dès décembre 2019, que l’intimé a fondé le calcul du degré d’invalidité sur le revenu réalisé en tant que maçon avant la survenance de son invalidité, indexé, et sur le salaire concrètement perçu au service de F______ Sàrl, soit CHF 46'800.-, au titre de revenu après invalidité.</w:t>
      </w:r>
    </w:p>
    <w:p>
      <w:r>
        <w:rPr>
          <w:b/>
        </w:rPr>
        <w:t>E. 11.5</w:t>
      </w:r>
    </w:p>
    <w:p>
      <w:r>
        <w:t>Il est cependant apparu au cours de la procédure judiciaire que le recourant a changé d’employeur dès le 1 er juin 2021 – soit quelques jours avant que l’intimé ne rende sa décision – et que son revenu a diminué. Conformément à la jurisprudence citée, cet élément justifie en principe un nouveau calcul du degré d’invalidité. Il convient cependant de souligner que sa nouvelle activité au service de H______SA était exercée à un taux de 40 % (soit 16 heures par semaine), ce qui n’exploitait pas complètement la capacité de travail alors médicalement établie. L’incidence de ce changement d’employeur sur le calcul du degré d’invalidité n’a cependant pas à être examinée plus avant ici, dès lors que les problèmes orthopédiques - également révélés dans le cadre de la procédure devant la chambre de céans - ont entraîné une incapacité de travail totale du 25 février 2021 au 31 août 2021, conformément aux renseignements donnés par les HUG et à l’avis du SMR du 25 janvier 2022. Cette incapacité de travail ayant débuté avant que l’intimé ne rende sa décision, elle doit être prise en considération dans l’appréciation du droit aux prestations du recourant.</w:t>
      </w:r>
    </w:p>
    <w:p>
      <w:r>
        <w:rPr>
          <w:b/>
        </w:rPr>
        <w:t>E. 11.6</w:t>
      </w:r>
    </w:p>
    <w:p>
      <w:r>
        <w:t>Compte tenu de ce qui précède, le degré d’invalidité du recourant de 41.6 %, arrondi à 42 % selon les règles mathématiques (ATF 130 V 121 consid. 3.2), doit être confirmé s’agissant de la période courant dès le 1 er décembre 2019, ce qui ouvre le droit à un quart de rente. Cela étant, l’incapacité de travail totale reconnue par le SMR en raison des troubles du genou entraîne une invalidité totale du 1 er février au 31 août 2021. En vertu de l’art. 88a RAI, le recourant a ainsi droit à une rente entière du 1 er mai au 30 novembre 2021, soit trois mois après l’aggravation et l’amélioration constatées. La décision de l’intimé doit ainsi être modifiée dans ce sens. On précisera encore que c’est à juste titre que l’intimé a réservé le droit à la rente durant les périodes pendant lesquelles des indemnités journalières ont été versées. En effet, l’art. 29 al. 2 LAI prévoit que le droit ne prend pas naissance tant que l’assuré peut faire valoir son droit à une indemnité journalière au sens de l’art. 22 LAI.</w:t>
      </w:r>
    </w:p>
    <w:p>
      <w:r>
        <w:rPr>
          <w:b/>
        </w:rPr>
        <w:t>E. 12</w:t>
      </w:r>
    </w:p>
    <w:p>
      <w:r>
        <w:t>S’agissant des années de cotisation déterminantes pour le calcul du montant de la rente, il est conforme à la réglementation topique et à la jurisprudence citée ci-dessus de tenir compte des seules années entières de cotisation avant la survenance de l’invalidité, soit en 2016 dans le cas d’espèce. La décision de l’intimé ne prête pas flanc à la critique sur ce point.![endif]&gt;![if&gt;</w:t>
      </w:r>
    </w:p>
    <w:p>
      <w:r>
        <w:rPr>
          <w:b/>
        </w:rPr>
        <w:t>E. 13</w:t>
      </w:r>
    </w:p>
    <w:p>
      <w:r>
        <w:t>Dans la mesure où le changement d’employeur entraîne une modification des circonstances économiques au sens de l’art. 17 LPGA et est antérieur à la décision dont est recours, il y a lieu de renvoyer la cause à l’intimé afin qu’il détermine ses éventuelles répercussions sur le degré d’invalidité du recourant dès le 1 er décembre 2021. Dans ce cadre, il lui appartiendra également d’apprécier les conséquences sur le droit aux prestations de l’aggravation alléguée par le recourant, liée à la diminution de la capacité de travail attestée par ses médecins traitants dès mars 2022. ![endif]&gt;![if&gt;</w:t>
      </w:r>
    </w:p>
    <w:p>
      <w:r>
        <w:rPr>
          <w:b/>
        </w:rPr>
        <w:t>E. 14</w:t>
      </w:r>
    </w:p>
    <w:p>
      <w:r>
        <w:t>Le recourant a conclu à son audition et à la mise en œuvre d’une expertise. ![endif]&gt;![if&gt; Au vu de ce qui précède, de telles mesures s’avèrent cependant inutiles, par appréciation anticipée des preuves (ATF 130 II 425 consid. 2.1).</w:t>
      </w:r>
    </w:p>
    <w:p>
      <w:r>
        <w:rPr>
          <w:b/>
        </w:rPr>
        <w:t>E. 15</w:t>
      </w:r>
    </w:p>
    <w:p>
      <w:r>
        <w:t>Le recours est partiellement admis.![endif]&gt;![if&gt;</w:t>
      </w:r>
    </w:p>
    <w:p>
      <w:r>
        <w:rPr>
          <w:b/>
        </w:rPr>
        <w:t>E. 16</w:t>
      </w:r>
    </w:p>
    <w:p>
      <w:r>
        <w:t>Le recourant, qui est assisté d’un avocat et obtient partiellement gain de cause, a droit à des dépens, qui seront fixés à CHF 1'000.- (art. 61 let. g LPGA).![endif]&gt;![if&gt;</w:t>
      </w:r>
    </w:p>
    <w:p>
      <w:r>
        <w:rPr>
          <w:b/>
        </w:rPr>
        <w:t>E. 17</w:t>
      </w:r>
    </w:p>
    <w:p>
      <w:r>
        <w:t>Au vu des circonstances, et du fait que la décision de l’intimé était conforme aux éléments en sa possession au moment où elle a été rendue, la chambre de céans renoncera exceptionnellement à prélever l’émolument prévu à l’art. 69 al. 1 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