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A/2300/2015 vom 20. Juni 2016</w:t>
      </w:r>
    </w:p>
    <w:p>
      <w:r>
        <w:t>GE Cour de justice, 2016-06-20, FR</w:t>
      </w:r>
    </w:p>
    <w:p>
      <w:r>
        <w:rPr>
          <w:b/>
        </w:rPr>
        <w:t xml:space="preserve">Quelle: </w:t>
      </w:r>
      <w:r>
        <w:t>https://mcp.opencaselaw.ch/entscheid/ge_gerichte_A_2300_2015</w:t>
      </w:r>
    </w:p>
    <w:p>
      <w:r>
        <w:t>FR: GE_GERICHTE A/2300/2015 du 20 juin 2016</w:t>
      </w:r>
    </w:p>
    <w:p>
      <w:r>
        <w:t>IT: GE_GERICHTE A/2300/2015 del 20 giugno 2016</w:t>
      </w:r>
    </w:p>
    <w:p>
      <w:pPr>
        <w:pStyle w:val="Heading2"/>
      </w:pPr>
      <w:r>
        <w:t>Erwägungen</w:t>
      </w:r>
    </w:p>
    <w:p>
      <w:r>
        <w:rPr>
          <w:b/>
        </w:rPr>
        <w:t>E. 1</w:t>
      </w:r>
    </w:p>
    <w:p>
      <w:r>
        <w:t>Expression des éléments pertinents pour le diagnostic et des symptômes Il faut davantage tenir compte du degré de gravité inhérent au diagnostic du trouble somatoforme douloureux : comme « plainte essentielle », il faut une « douleur persistante, intense, s'accompagnant d'un sentiment de détresse » (ATF 141 V 281 consid. 2.1.1).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 (consid. 4.4.2).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l'assureur doit recourir aux services d'un expert indépendant pour élucider les faits, il donne connaissance du nom de celui-ci aux parties. Celles-ci peuvent récuser l'expert pour des raisons pertinentes et présenter des contre-propositions (art. 44 LPGA).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(consid. 4).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arrêt du Tribunal fédéral 8C_552/2009 du 8 avril 2010 consid. 5.3).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10.    a. En l'espèce, à la suite du renvoi de la cause pour instruction complémentaire, par arrêt de la chambre de céans du 17 octobre 2014, l'OAI a mandaté deux médecins du SMR, soit des médecins employés par lui-même.![endif]&gt;![if&gt; b. S'agissant du rapport du Dr R______, ses conclusions ne sont pas critiquées par le recourant et rien ne permet de douter de leur fiabilité, si ce n'est la durée de l'examen clinique qui n'aurait été que de 20 minutes au total selon le recourant. Dans la mesure toutefois où il apparaît que l'incapacité de travail du recourant doit être examinée essentiellement en fonction de la pathologie psychiatrique, comme l'avait déjà relevé, son médecin traitant le Dr B______, le 14 février 2011, il ne se justifie pas de faire procéder à une expertise sur le plan rhumatologique. c. S'agissant du rapport du Dr S______, certains doutes peuvent être émis sur sa fiabilité. Sur la base d'un entretien qui pourrait avoir été très court, il a en effet retenu un trouble dépressif moyen, alors que plusieurs médecins ayant traité l'assuré sur une période plus longue ont fait état d'un trouble dépressif sévère (la Dresse I______ le 22 août 2011; la Dresse K______ le 26 avril 2012; les Drs L______ et M______ le 7 mai 2012; la Dresse O______ le 28 août 2013; les Drs P______ et Q______ le 20 août 2014). Sur la même base, le Dr S______ a contesté la réalité des hallucinations décrites par l'assuré, qui avaient pourtant déjà été constatées et non remises en doute par plusieurs médecins (les Drs L______ et M______ le 7 mai 2012; les Drs P______ et Q______, 28 août 2014). Le Dr S______ a retenu qu'il était difficile d'affirmer que l'état psychique de l'assuré était cristallisé bien qu'il s'agissait d'une affection chronique s'étendant sur plusieurs années sans rémission durable et que jusqu'à présent le traitement avait échoué, en se contentant de relever qu'il était difficile d'affirmer qu'il n'y avait pas d'évolution possible au plan thérapeutique, sans autre motivation. Or, la Dresse K______ a retenu, au contraire, le 26 avril 2012, que le patient présentait un état psychiatrique cristallisé. Enfin, le Dr S______ a considéré qu'il n'y avait pas de perte d'intégration sociale dans toutes les manifestations de la vie, comme le montrait la vie quotidienne de l'assuré, sans préciser à quels éléments concrets, il faisait allusion. Or, à teneur de la description figurant dans le rapport du SMR, la vie de l'assuré apparaît très affectée au quotidien. Cette conclusion du Dr S______ est, en outre, contredite par la Dresse K______, qui constatait, le 26 avril 2012, que le patient présentait une perte d’intégration sociale et un périmètre de vie extrêmement réduit, la Dresse O______ qui constatait, le 22 octobre 2012, une perte d’intégration sociale et un repli sur soi et les Drs P______ et Q______ qui constataient, le 20 août 2014, que le patient présentait une aboulie complète confirmée par son épouse, passant ses journées au lit sans aucune activité et ne tolérant la présence de personne. Enfin le Dr S______ n'a pas tenu compte des hospitalisations de l'assuré ni des rapports qui les ont suivies. 11.    Il y a ainsi des doutes suffisants quant à la fiabilité et la pertinence de l'appréciation du Dr S______ pour imposer la mise en œuvre d'une expertise psychiatrique par un médecin indépendant. Dans la mesure où certains médecins ont évoqué un trouble somatoforme douloureux, il y a lieu de poser à l'expert les questions relatives à l'appréciation du caractère invalidant de ce trouble, ce d'autant plus que depuis l'examen du SMR, le Tribunal fédéral a rendu son arrêt modifiant les critères d'appréciation à ce sujet.![endif]&gt;![if&gt; PAR CES MOTIFS, LA CHAMBRE DES ASSURANCES SOCIALES : Statuant préparatoirement 1.             Ordonne une expertise psychiatrique de Monsieur A______ ![endif]&gt;![if&gt; 2.             Commet à ces fins le docteur T______, spécialiste FMH en psychiatrie. ![endif]&gt;![if&gt; 3.             Dit que la mission d’expertise sera la suivante :![endif]&gt;![if&gt; a)        prendre connaissance du dossier de la cause ; ![endif]&gt;![if&gt; b)        si nécessaire, prendre tous renseignements auprès des médecins ayant traité le recourant : ![endif]&gt;![if&gt; c)        examiner et entendre l’assuré, après s’être entouré de tous les éléments utiles, au besoin  d’avis de d’autres spécialistes ;![endif]&gt;![if&gt; d)       si nécessaire, ordonner d’autres examens.![endif]&gt;![if&gt; 4.             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L'état de santé de l'assuré s'est-il aggravé depuis mars 2012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l’assuré).![endif]&gt;![if&gt;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10.    Dans l’affirmative, considérez-vous que cela suffise à exclure une atteinte à la santé significative ?![endif]&gt;![if&gt; 11.    Quels ont été les traitements entrepris et avec quel succès (évolution et résultats des thérapies) ? ![endif]&gt;![if&gt; 12.    L’assuré a-t-il-elle fait preuve de résistance à l’égard des traitements proposés ? La compliance est-elle bonne ? ![endif]&gt;![if&gt; 13.    Dans quelle mesure les traitements ont-ils été mis à profit ou négligés ?![endif]&gt;![if&gt; 14.    Les limitations du niveau d’activité sont-elles uniformes dans tous les domaines (professionnel mais aussi personnel) ? Quel est le niveau d’activité sociale et comment a-t-il évolué depuis la survenance de l’atteinte à la santé ? ![endif]&gt;![if&gt; 15.    Mentionner, pour chaque diagnostic posé, les limitations fonctionnelles qu’il entraîne,![endif]&gt;![if&gt; a)        dans l’activité habituelle ![endif]&gt;![if&gt; b)        dans une activité adaptée.![endif]&gt;![if&gt; 16.    Mentionner globalement les conséquences des divers diagnostics retenus sur la capacité de travail du recourant, en pourcent,![endif]&gt;![if&gt;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21.    Commenter et discuter les avis médicaux du SMR, des experts s’étant déjà prononcés et des médecins traitants et indiquer - cas échéant - pour quelles raisons ces avis sont confirmés ou écartés.![endif]&gt;![if&gt; 22.    Formuler un pronostic global.![endif]&gt;![if&gt; 23.    Toute remarque utile et proposition de l’expert.![endif]&gt;![if&gt; 5.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 ? e) Quel est le contexte social ? L’intéressé peut-il compter sur le soutien de ses proches ? f) Pour le cas où il y aurait refus ou mauvaise acceptation d’une thérapie recommandée et accessible : cette attitude doit-elle être attribuée à une incapacité de l’assuré à reconnaître sa maladie ? g) Dans l’ensemble, le comportement de l’expertisé vous semble-t-il cohérent ? Pourquoi ? 6.             Invite l'expert à déposer à sa meilleure convenance un rapport en trois exemplaires à la chambre de céans.![endif]&gt;![if&gt; 7.             Réserve le fond.![endif]&gt;![if&gt; La greffière Brigitte BABEL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