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A/2298/2005 vom 12. Mai 2005</w:t>
      </w:r>
    </w:p>
    <w:p>
      <w:r>
        <w:t>GE Cour de justice, 2005-05-12, FR</w:t>
      </w:r>
    </w:p>
    <w:p>
      <w:r>
        <w:rPr>
          <w:b/>
        </w:rPr>
        <w:t xml:space="preserve">Quelle: </w:t>
      </w:r>
      <w:r>
        <w:t>https://mcp.opencaselaw.ch/entscheid/ge_gerichte_A_2298_2005</w:t>
      </w:r>
    </w:p>
    <w:p>
      <w:r>
        <w:t>FR: GE_GERICHTE A/2298/2005 du 12 mai 2005</w:t>
      </w:r>
    </w:p>
    <w:p>
      <w:r>
        <w:t>IT: GE_GERICHTE A/2298/2005 del 12 maggio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LPP acquis par les époux durant le mariage. Les dates pertinentes sont, d’une part, celle du mariage le 25 septembre 1997, d’autre part le 21 juin 2005, date à laquelle le jugement de divorce est devenu exécutoire.</w:t>
      </w:r>
    </w:p>
    <w:p>
      <w:r>
        <w:rPr>
          <w:b/>
        </w:rPr>
        <w:t>E. 4</w:t>
      </w:r>
    </w:p>
    <w:p>
      <w:r>
        <w:t>La demanderesse s'oppose toutefois au partage, dans la mesure où ceux de son ex-époux ne pourraient plus l'être. L'application de l'art. 122 al. 1 CC présuppose en effet que l'époux dispose d'un droit à une prestation de sortie à l'encontre de son institution de prévoyance (cf. ATF 128 V 41 consid. 3b p. 48; 127 III 433 consid. 2b p. 437 et les références). Savoir si un tel droit existe est une difficulté relative au rapport de prévoyance, qui relève de la compétence matérielle du juge des assurances sociales (ATF 128 V 41 consid. 1b et 2c in fine).</w:t>
      </w:r>
    </w:p>
    <w:p>
      <w:r>
        <w:rPr>
          <w:b/>
        </w:rPr>
        <w:t>E. 5</w:t>
      </w:r>
    </w:p>
    <w:p>
      <w:r>
        <w:t>Il s'agit ainsi de déterminer préalablement si les prétentions LPP des demandeurs peuvent ou non être partagées. Aux termes de l'art. 2 al. 1 LFLP, si l'assuré quitte l'institution de prévoyance avant la survenance d'un cas de prévoyance, il a droit à une prestation de sortie. La survenance du cas de prévoyance est donc le critère décisif pour juger de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Le conjoint ne saurait être privé de la moitié des avoirs de prévoyance à laquelle il a droit en cas de divorce en vertu de l'art. 122 al. 1 CC; selon la volonté du législateur, chaque époux a un droit inconditionnel à la moitié des expectatives de prévoyance constituées pendant le mariage (ATF 129 III 577 consid. 4 p. 578; cf. Message concernant la révision du code civil suisse du 15 novembre 1995, in FF 1996 I 1 ss, 101). Tant que l'assuré ne reçoit pas de telles prestations, il dispose d'une prestation de sortie à l'égard de sa caisse; le partage de celle-ci est donc possible et le conjoint y a droit en vertu de l'art. 122 al. 1 CC. Inversement, dès que l'assuré touche des prestations, son droit à la prestation de sortie s'éteint; un partage n'est techniquement plus possible et seule une indemnité équitable peut être fixée conformément à l'art. 124 al. 1 CC (ATF 129 V 444 consid. 5.1 p. 446 et les références). Cette solution est retenue par la doctrine quasi unanime (GEISER, Vorsorgeausgleich: Aufteilung bei Vorbezug für Wohneigentumserwerb und nach Eintreten eines Vorsorgefalls, FamPra 2002 p. 86 et Berufliche Vorsorge im neuen Scheidungsrecht, in: Vom alten zum neuen Scheidungsrecht, n. 2.97; BAUMANN/LAUTERBURG, Praxiskommentar, Scheidungsrecht 2000, n. 18 et 20 ad art. 122 CC; WALSER, Commentaire bâlois, n. 4 ad art. 124 CC; TRIGO TRINDADE, Prévoyance professionnelle, divorce et succession, SJ 2000 II p. 493; KIESER, Ehescheidung und Eintritt des Vorsorgefalles der beruflichen Vorsorge - Hinweise für die Praxis, PJA 2001 p. 155, 156; GRÜTTER/SUMMERMATTER, Erstinstanzliche Erfahrungen mit dem Vorsorgeausgleich bei Scheidung, insbesondere nach Art. 124 ZGB, FamPra 2002 p. 641, 647; SUTTER/FREIBURGHAUS, Kommentar zum neuen Scheidungsrecht, n. 3 ad art. 124 CC. Contra: SCHNEIDER/BRUCHEZ, op. cit., p. 221 et note 121). Par la survenance d'un cas de prévoyance au sens de la disposition précitée, il faut entendre la naissance d'un droit concret à des prestations de la prévoyance professionnelle, qui rend impossible le partage des avoirs de prévoyance à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w:t>
      </w:r>
    </w:p>
    <w:p>
      <w:r>
        <w:rPr>
          <w:b/>
        </w:rPr>
        <w:t>E. 6</w:t>
      </w:r>
    </w:p>
    <w:p>
      <w:r>
        <w:t>En l'espèce, à la date déterminante de l'entrée en force du prononcé du divorce, soit le 21 juin 2005, l'ex-époux avait déjà déposé une demande de prestations auprès de l'OCAI. Cet office n'a cependant pas rendu de décision. Or tant que le droit à une rente d'invalidité ne lui est pas reconnu, le demandeur dispose d'une prestation de sortie à l'égard de sa caisse (cf. ATAS 865/05). Le cas de prévoyance n'étant pas réalisé lors de l'entrée en force du prononcé du divorce, les avoirs acquis par les demandeurs durant le mariage doivent ainsi être partagés.</w:t>
      </w:r>
    </w:p>
    <w:p>
      <w:r>
        <w:rPr>
          <w:b/>
        </w:rPr>
        <w:t>E. 7</w:t>
      </w:r>
    </w:p>
    <w:p>
      <w:r>
        <w:t>Selon les documents produits, la prestation acquise pendant le mariage par Monsieur F__________ est de 45'872 fr. 55 tandis que celle acquise par Madame F__________ est de 57'248 fr. 80, les intérêts ayant déjà été calculés par les institutions de prévoyance défenderesses. Ainsi Madame F__________ doit à son ex-époux le montant de 28'624 fr. 40 (57'248 fr. 80 : 2) et celui-ci doit à celle-là le montant de 22'936 fr. 25 (45'872 fr. 55 : 2), de sorte que c'est Madame F__________ qui doit à Monsieur F__________ le montant de 5'688 fr. 15.</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9</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