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A/2289/2023 vom 17. Dezember 2024</w:t>
      </w:r>
    </w:p>
    <w:p>
      <w:r>
        <w:t>GE Cour de justice, 2024-12-17, FR</w:t>
      </w:r>
    </w:p>
    <w:p>
      <w:r>
        <w:rPr>
          <w:b/>
        </w:rPr>
        <w:t xml:space="preserve">Quelle: </w:t>
      </w:r>
      <w:r>
        <w:t>https://mcp.opencaselaw.ch/entscheid/ge_gerichte_A_2289_2023</w:t>
      </w:r>
    </w:p>
    <w:p>
      <w:r>
        <w:t>FR: GE_GERICHTE A/2289/2023 du 17 décembre 2024</w:t>
      </w:r>
    </w:p>
    <w:p>
      <w:r>
        <w:t>IT: GE_GERICHTE A/2289/2023 del 17 dicembre 2024</w:t>
      </w:r>
    </w:p>
    <w:p>
      <w:pPr>
        <w:pStyle w:val="Heading2"/>
      </w:pPr>
      <w:r>
        <w:t>Erwägungen</w:t>
      </w:r>
    </w:p>
    <w:p>
      <w:r>
        <w:rPr>
          <w:b/>
        </w:rPr>
        <w:t>E. 3</w:t>
      </w:r>
    </w:p>
    <w:p>
      <w:r>
        <w:t>ème section dans la cause A______ recourante représentée par Me Jean-Louis COLLART, avocat contre B______ représentée par Me Stephan KRONBICHLER, avocat et C______ et DÉPARTEMENT DU TERRITOIRE-OAC intimés _________ Recours contre le jugement du Tribunal administratif de première instance du 25 janvier 2024 ( JTAPI/59/2024 ) EN FAIT A. a. C______ (ci-après : C______), est propriétaire de la parcelle n o 2'889 de la commune de D______ (section E______), située au 16B chemin F______, en zone de développement 3. Un immeuble d’habitations y est construit. b. B______ (ci-après : B______) a pour but d’offrir des services de télécommunication et de radiodiffusion. Elle est titulaire de la concession de service universel dans le domaine des télécommunications. B. a. Le 10 mars 2022, B______ a sollicité du département du territoire (ci-après : le département), la délivrance d’une autorisation portant sur la « construction d’une nouvelle installation de communication mobile / GBSR », qui consistait en neuf antennes dont trois antennes adaptatives regroupées sur un seul support sur le toit du bâtiment sis sur la parcelle n o 2'889. La demande a été enregistrée sous numéro DD 1______/1. b. La fiche de données spécifique au site, établie le 27 septembre 2021 par B______ et jointe à la requête, contenait les informations suivantes : -       l’intensité du champ électrique due à l’installation au lieu de séjour momentané le plus chargé était de 47.0 V/m, atteignant 92.1% de la valeur limite d’immission (ci-après : VLI) ; -       s’agissant du rayonnement dans les lieux à utilisation sensible (ci-après : LUS) les plus chargés autour de l’installation (numérotés 2 à 7), ces derniers présentaient respectivement une intensité de champ électrique de 4.65 V/m, 4.94 V/m, 4.97 V/m, 4.86 V/m, 4.98 V/m et 4.68 V/m, sur une valeur limite de l’installation (ci-après : VLInst) de 5.0 V/m. La VLInst était respectée pour l’ensemble des LUS ; -       les antennes n os</w:t>
      </w:r>
    </w:p>
    <w:p>
      <w:r>
        <w:rPr>
          <w:b/>
        </w:rPr>
        <w:t>E. 3.1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3.2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3.4</w:t>
      </w:r>
    </w:p>
    <w:p>
      <w:r>
        <w:t>Le contrôle préjudiciel des ordonnances appartient à toutes les autorités, aussi bien fédérales que cantonales, chargées de les appliquer. Il ne s'agit d'ailleurs pas d'une faculté, mais d'une obligation : l'autorité qui refuse d'examiner la régularité d'une ordonnance, alors même que le recourant a soulevé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à la Constitution ou à la loi (arrêt du Tribunal administratif fédéral A‑2852/2018 du 7 février 2019 consid. 2.2.2 et les arrêts cités).</w:t>
      </w:r>
    </w:p>
    <w:p>
      <w:r>
        <w:rPr>
          <w:b/>
        </w:rPr>
        <w:t>E. 3.5</w:t>
      </w:r>
    </w:p>
    <w:p>
      <w:r>
        <w:t>En l'espèce, le TAPI a indiqué que le bien-fondé des valeurs fixées par les dispositions légales et réglementaires applicables avait été confirmé par la jurisprudence fédérale (consid. 21). Par conséquent, contrairement à ce que soutient la recourante, il apparaît qu'il n'a pas omis d’examiner la question de la conformité de l’ORNI à la LPE et au principe de précaution, sous réserve certes de la problématique du facteur de correction K AA . S'agissant de celle-ci, il ne ressort pas du jugement querellé que le TAPI aurait retenu qu'un facteur de correction K AA était appliqué pour les antennes adaptatives concernées. Par conséquent, dans son interprétation de la situation, la conformité de l'application dudit facteur à la LPE et au principe de précaution n'avait pas de pertinence, si bien qu'il pouvait s'abstenir de traiter ce grief. Dès lors, le TAPI n'a pas commis de déni justice. Cela étant, devant le TAPI, la recourante s'est plainte de la non-conformité du facteur de correction au principe de prévention. Le TAPI n'a toutefois pas expliqué pourquoi il a considéré qu'aucun facteur de correction K AA n'était appliqué pour les antennes adaptatives concernées, ce qui constitue un défaut de motivation entraînant une violation du droit d'être entendue de la recourante. Cette violation est toutefois sans conséquence. En effet, elle doit être considérée comme ayant été réparée devant la chambre de céans, celle-ci disposant du même pouvoir d’examen – portant sur les faits et le droit, à l’exclusion de l’opportunité (art. 61 al. 1 et 2 LPA) – que le TAPI ( ATA/11/2024 du 9 janvier 2024 consid. 2), et la recourante ayant pu faire valoir ses arguments devant la chambre administrative aussi efficacement que devant le TAPI. Par ailleurs, un renvoi à cette juridiction aboutirait à un allongement inutile de la procédure. Par conséquent, le grief sera écarté. 4. Dans deux griefs qui se confondent et qui seront donc traités conjointement, la recourante soutient que le département n'a pas pris en compte l'utilisation du facteur de correction en délivrant l'autorisation querellée et que l'ERP n indiquée dans la fiche spécifique au site ne correspond pas à l'ERP max . 4.1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4.2 La Confédération surveille l’application de la LPE (art. 38 al. 1 LPE). Elle coordonne les mesures d’exécution des cantons ainsi que celles de ses propres établissements et exploitations (art. 38 al. 2 LPE). Conformément aux art. 38 al. 3 LPE et 12 al. 2 2 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notamment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 Complément du 23 février 2021 à la Recommandation OFEFP 2002 portant sur les antennes adaptatives » (ci-après : Complément OFEV 2021) et « les explications concernant les antennes adaptatives et leur évaluation l'ORNI » (ci-après : Explications OFEV 2021). 4.3 Afin de protéger l'être humain contre le RNI nuisible ou incommodant, le Conseil fédéral, sur la base de la délégation de compétence de l'art. 13 al. 1 LPE, a édicté l’ORNI (art. 1 ORNI). Selon l'art. 2 al. 1 ORNI, celle-ci régit la limitation des émissions des champs électriques et magnétiques générées par des installations stationnaires dans une gamme de fréquence allant de 0 Hz à 300 GHz (rayonnement ; let. a), la détermination et l’évaluation des immissions de rayonnement (let. b) et les exigences posées à la définition des zones à bâtir (let. c). 4.4 L’art. 3 ORNI contient les définitions de plusieurs notions. Selon son al. 3,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Aux termes de son al. 6,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(al. 9). 4.5 Avant qu’une installation pour laquelle des limitations d’émissions figurant à l’annexe 1 de l'ORNI soit construite, réinstallée sur un autre site, remplacée sur son site ou modifiée, le détenteur doit remettre à l’autorité compétente en matière d’autorisations une fiche de données spécifique au site (art. 11 al.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procédure de contrôle, en particulier au stade du calcul de la prévision, repose sur un élément clé, à savoir la fiche (art. 11 al. 1 ORNI). Les données correspondantes servent de base pour le permis de construire et sont contraignantes pour l'opérateur. Ainsi, une nouvelle installation de radiocommunications mobiles et son exploitation ne peuvent être approuvées que s'il apparaît certain, en fonction d'une prévision mathématique calculée sur la base des données figurant sur la fiche, que les valeurs limites fixées par l'ORNI peuvent probablement être respectées (art. 4 ss ORNI ; arrêt du Tribunal fédéral 1A.264/2000 du 24 septembre 2002 consid. 8.1 non publié aux ATF 128 II 378 ). 4.6 Le ch. 62 de l’annexe 1 ORNI définit plusieurs notions, notamment celle d'antennes émettrices adaptatives, soit les antennes émettrices exploitées de sorte que leur direction d’émission ou leur diagramme d’antenne est adapté automatiquement selon une périodicité rapprochée (al. 6). 4.7 Le ch. 63 de l’annexe 1 ORNI traite du mode d’exploitation déterminant. Par mode d’exploitation déterminant, on entend le mode d’exploitation dans lequel un maximum de conversations et de données est transféré, l’émetteur étant au maximum de sa puissance. Selon le ch. 63 al. 2 annexe 1 ORNI, en vigueur depuis le 1 er janvier 2022, s’agissant des antennes émettrices adaptatives qui possèdent au moins huit sous‑ensembles d’antennes commandés séparément ( sub arrays ),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La limitation automatique de la puissance est une application logicielle implémentée sur l’antenne. Elle détecte en permanence la puissance totale de l’antenne adaptative émise dans un secteur radio. Si, sur de courtes périodes, des pics de puissance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 puisse dépasser la puissance autorisée, la puissance est réduite de telle sorte que la valeur moyenne reste sûrement en dessous du seuil spécifié. (Explications OFEV 2021, chap. 7 p. 21). Les facteurs de correction K AA suivants s’appliquent : Nombre de sub arrays Facteur de correction K AA 64 et plus ≥ 0,10 32 à 63 ≥ 0,13 16 à 31 ≥ 0,20</w:t>
      </w:r>
    </w:p>
    <w:p>
      <w:r>
        <w:rPr>
          <w:b/>
        </w:rPr>
        <w:t>E. 7</w:t>
      </w:r>
    </w:p>
    <w:p>
      <w:r>
        <w:t>à 9 étaient appelées à fonctionner en mode adaptatif et donc que la puissance ERP n indiquée était le résultat de l'application d'un facteur de correction (ERP max x 0.2). Le SABRA posait comme condition, pour les antennes adaptatives, l'application d'un système de limitation automatique de la puissance. Cette condition était rappelée en l'occurrence dans son préavis (page 1, condition n° 2), en tant que le système devait être intégré dans le système d'assurance qualité. Cette condition était également rappelée au point n° 5 du préavis, par renvoi aux directives de l'OFEV. f. Dans une écriture spontanée du 11 octobre 2024, A______ a indiqué que selon une étude de la radio-télévision suisse romande (ci-après : RTS), la puissance des antennes 5G et la fixation d'un facteur de correction relevaient d'une décision politique, guidée par des considérations économiques, et non pas d'une analyse scientifiquement fondée. L'ensemble de la jurisprudence reposait faussement sur une prétendue détermination de l'OFEV, puisque ce dernier avait préconisé un facteur de correction bien inférieur à celui finalement retenu. g. Après que le département et B______ ont répliqué, la cause a été gardée à juger, ce dont les parties ont été informées. EN DROIT 1. Interjeté en temps utile devant la juridiction compétente, le recours de la commune où se situe l’installation litigieuse est recevable (art. 132 de la loi sur l'organisation judiciaire du 26 septembre 2010 - LOJ - E 2 05 ; art. 62 al. 1 let. a de la loi sur la procédure administrative du 12 septembre 1985 - LPA - E 5 10 ; art. 57 LPE ; art. 145 al. 2 de la loi sur les constructions et les installations diverses du 14 avril 1988 - LCI - L 5 05). 2. Le litige porte sur la conformité au droit de l'autorisation délivrée à l'opérateur consistant en la construction d’une nouvelle installation de communication mobile comportant neuf antennes dont trois adaptatives. 3. Dans un grief d'ordre formel, la recourante reproche au TAPI d’avoir commis un déni de justice en omettant d’examiner la conformité de l’ORNI à la LPE et au principe de précaution, y compris en lien avec l'application du facteur de correction K AA .</w:t>
      </w:r>
    </w:p>
    <w:p>
      <w:r>
        <w:rPr>
          <w:b/>
        </w:rPr>
        <w:t>E. 8</w:t>
      </w:r>
    </w:p>
    <w:p>
      <w:r>
        <w:t>Vu l’issue du litige, un émolument de CHF 1'500.- sera mis à la charge de la recourante qui succombe et ne défendait pas sa propre décision (art. 87 al. 1 LPA). Une indemnité de procédure de CHF 1'500.- sera allouée à B______, à la charge de la recourante (art. 87 al. 2 LPA). Aucune indemnité ne sera allouée à C______ qui n’a pris aucune conclusion.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