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A/2283/2008 vom 20. Januar 2009</w:t>
      </w:r>
    </w:p>
    <w:p>
      <w:r>
        <w:t>GE Cour de justice, 2009-01-20, FR</w:t>
      </w:r>
    </w:p>
    <w:p>
      <w:r>
        <w:rPr>
          <w:b/>
        </w:rPr>
        <w:t xml:space="preserve">Quelle: </w:t>
      </w:r>
      <w:r>
        <w:t>https://mcp.opencaselaw.ch/entscheid/ge_gerichte_A_2283_2008</w:t>
      </w:r>
    </w:p>
    <w:p>
      <w:r>
        <w:t>FR: GE_GERICHTE A/2283/2008 du 20 janvier 2009</w:t>
      </w:r>
    </w:p>
    <w:p>
      <w:r>
        <w:t>IT: GE_GERICHTE A/2283/2008 del 20 gennaio 2009</w:t>
      </w:r>
    </w:p>
    <w:p>
      <w:pPr>
        <w:pStyle w:val="Heading2"/>
      </w:pPr>
      <w:r>
        <w:t>Erwägungen</w:t>
      </w:r>
    </w:p>
    <w:p>
      <w:r>
        <w:rPr>
          <w:b/>
        </w:rPr>
        <w:t>E. 10</w:t>
      </w:r>
    </w:p>
    <w:p>
      <w:r>
        <w:t>Dans un rapport du 12 avril 2008, la Dresse L__________ a indiqué que l'état de santé était resté stationnaire depuis le 5 octobre 2004, que l'incapacité de travail était de 100% comme aide de cuisine, et de 50% au maximum dans une activité adaptée. Le médecin a ajouté que "l'incapacité de reprendre une activité professionnelle adaptée est un facteur de dépression modéré chez cette patiente qui vit cette situation comme très dévalorisante". Dans une note du 14 avril 2008, le Dr Q__________ du Service médical régional AI (ci-après SMR) a relevé d'une part, que l'atteinte somatique était très modeste et ne représentait pas vraiment une cause objective d'incapacité de travail, et d'autre part, que des éléments de nature dépressive étaient compréhensifs dans une situation sociale difficile. Le Dr Q__________ considère dès lors que l'avis du médecin traitant doit être relativisé. Un nouveau rapport a été établi par la Division de réadaptation professionnelle de l'AI le 16 avril 2008, aux termes duquel "malgré les déclarations de l'assurée d'être prête à faire un effort important, la tentative de reprise d'activité sous forme de mesures d'observations professionnelles a échoué pour des raisons ne relevant pas de notre assurance. Des mesures professionnelles ne sont pas indiquées et nous sommes contraints d'évaluer l'invalidité de manière théorique sur la base d'un travail à plein temps avec un rendement de 80%, soit une capacité de travail de 80%. L'exigibilité SMR est valable depuis décembre 2003. Nous prenons comme année de calcul l'année d'échéance du délai de carence, soit 2004". Le degré d'invalidité avec une réduction supplémentaire de 10% a été ainsi fixé à 31,11%, étant précisé que la diminution de la capacité de travail exigible tenait déjà compte des limitations fonctionnelles. L'OCAI a transmis l'assurée le 17 avril 2008 un projet de décision aux termes duquel sa demande était rejetée. L'assurée, représentée par Maître Jacques BOROWSKY, a contesté ce projet. Par décision du 22 mai 2008, l'OCAI l'a confirmé. L'assurée, par l'intermédiaire de son mandataire, a interjeté recours le 24 juin 2008 contre ladite décision. Elle nie toute valeur probante aux rapports établis par les médecins du SMR, dont les conclusions sont contredites par les Drs L__________, M__________, R__________ et N__________. Elle relève que les Drs L__________ et M__________ ont attesté d'une aggravation de son état de santé depuis 2007 en raison de son trouble dépressif. Elle reproche également à l'OCAI de s'être borné à admettre un abattement de 10%, alors qu'il aurait fallu tenir compte du taux maximal de 25%. Elle conclut dès lors principalement, à l'octroi d'une demi-rente d'invalidité au moins, à compter du 1 er janvier 2004 et subsidiairement, à la prise en charge de mesures d'observation professionnelle. Invité à se déterminer, le Dr Q__________ constate le 20 août 2008 : "Annonce d'une aggravation en invoquant en premier les problèmes physiques, mais il s'avère que la dépression qualifiée de sévère était évaluée déjà de la même façon en 2006 par la Dresse L__________, mais qui n'avait pas été confirmée par l'examen SMR. Cela tient certainement compte d'une empathie certaine de la part du médecin traitant. Rappelons que le rapport d'avril 2008 parlait d'un état de santé stationnaire. Donc aggravation éventuelle postérieure à la décision négative qui a encore pu avoir un effet défavorable sur le psychisme (mais cela ne devrait pas être pris en compte par l'AI). Le Dr M__________ indique que la situation ne s'améliore pas, il évoque une aggravation psychique et somatique sans en préciser la nature tout en notant que la non reconnaissance de la dépression par l'AI "n'arrange pas les choses". Un tel élément ne paraît pas relever de l'AI". Dans sa réponse du 21 août 2008, l'OCAI a dès lors proposé le rejet du recours. Le Tribunal de céans a ordonné la comparution personnelle des parties et l'audition de la Dresse L__________ le 9 décembre 2008. Celle-ci a déclaré que : "Je confirme les rapports que j'ai établis à l'attention de l'OCAI les 26 février 2005, 12 avril et 12 juin 2008. L'état de santé est resté stationnaire depuis le 5 octobre 2004, date de ma première consultation. J'ai relevé une modeste amélioration dans le courant de l'année 2007 survenue avant le stage et qui a du reste conduit à ce stage. Elle ne s'est toutefois pas maintenue. Je précise que l'état dépressif est étroitement lié aux douleurs. L'assurée conservait toutefois une capacité résiduelle de travail de 50% dans une activité adaptée. Le fait de n'avoir pas réussi à trouver un emploi répondant à ses limitations a aggravé l'état dépressif. La situation s'est péjorée au moment où l'assurée a suivi son stage aux EPI. J'ai indiqué dans mon rapport du 12 avril 2008 que l'état était resté stationnaire, parce que j'ai envisagé la situation dans son ensemble depuis octobre 2004. Pour moi la situation était redevenue, suite à la légère amélioration, aussi mauvaise qu'elle l'était en octobre 2004. Le Dr M__________ m'a informée que les douleurs arthrosiques auraient progressé, ce qui implique une aggravation de l'état dépressif. J'estime que sur le plan psychiatrique, la capacité résiduelle de travail de ma patiente ne dépasse pas 25% (c'est un maximum). Globalement, les deux aspects, psychiatrique et somatique, se présentent à parts égales". L'assurée a quant à elle déclaré qu'elle ne pensait pas pouvoir réussir à suivre une nouvelle mesure professionnelle. 19.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Le litige porte sur le droit de l'assurée à des prestations AI.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6. Dans un arrêt récent (ATF 132 V 65 ),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Quant à la comorbidité psychiatrique, celle-ci n’est admise pour des états dépressifs que si ceux-ci peuvent être considérés comme une atteinte psychique indépendante des troubles somatoformes douloureux, mais non pas s’ils se révèlent être, sur la base du dossier médical, des manifestations (réactives) d’accompagnement de ces troubles (ATFA du 12 mars 2004, I 683/03, destiné à la publication et ATFA non publiés du 8 juin 2004, I 282/03 et I 283/03).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se fondant sur l'examen des Dresses O__________ et P__________ du 12 décembre 2006, l'OCAI a considéré que les rachialgies diffuses et la fibromyalgie dont souffrait l'assurée ne suffisaient pas pour constituer des atteintes invalidantes et refusé toute prestation AI. Les médecins qu'il avait mandatés ont en effet fixé la capacité de travail de l'assurée à 100% dans une activité adaptée dès décembre 2003. Ils n'ont retenu aucun diagnostic sur le plan psychiatrique, relevant que la symptomatologie dépressive dont faisait état la Dresse L__________, n'était que réactionnelle aux douleurs chroniques, de sorte qu'elle ne saurait être constitutive d'une comorbidité psychiatrique autonome. La Dresse L__________, médecin traitant, a en revanche affirmé que sa patiente ne pouvait travailler qu'à 50% dans une activité adaptée au motif qu'elle présentait des cervico-lombalgies, du surpoids et un état dépressif chronique. Le Dr M__________ a également fixé à 50% la capacité de travail de l'assurée dans une activité légère. Le Dr N__________ n'a quant à lui pas pu se prononcer n'ayant vu l'assurée qu'une seule fois. Le Tribunal de céans constate que l'examen réalisé par les Dresses O__________ et P__________ remplit tous les réquisits de la jurisprudence permettant de lui attribuer pleine valeur probante. Elles ont expliqué en quoi consistait les atteintes à la santé de l'assurée, leurs conclusions sont claires et bien motivées, de sorte que le Tribunal n'a a priori aucune raison de s'en écarter. Il s'agit toutefois de déterminer si l'appréciation des Drs L__________ et M__________ est de nature à les mettre en doute. Le Tribunal de céans constate que les Dresses O__________ et P__________ n'ont pu mettre en évidence que des rachialgies diffuses dans le cadre d'un trouble statique et discrètement dégénératif avec insuffisance posturale et déconditionnement global ainsi qu'un début de gonarthrose bilatérale possible. S'agissant du diagnostic de dépression, il est utile d'objectiver s'il s'agit d'un épisode dépressif transitoire ou d'un trouble affectif grave durable pour une évaluation de la capacité de travail. Des indications sur le pronostic avec un traitement approprié sont indispensables (cf. chiffre 1015 de la Circulaire concernant l'invalidité et l'impotence de l'assurance-invalidité). En l'espèce, aucun diagnostic psychiatrique invalidant n'a été retenu par les médecins du SMR. Le médecin traitant, entendu par le Tribunal de céans, a du reste confirmé que l'état dépressif était étroitement lié aux douleurs. Force est ainsi de constater que l'état dépressif ne constitue qu'une réaction aux douleurs et ne présente pas une sévérité telle qu'il exclut toute mise en valeur de la capacité de travail de l'assurée. L'assurée allègue avoir subi une aggravation de son état de santé depuis 2007 en raison de son trouble dépressif. Or, la Dresse L__________ a clairement indiqué dans son rapport du 12 avril 2008, que l'état de santé était stationnaire. Elle qualifiait du reste déjà de grave l'état dépressif de sa patiente en février 2005. Il est vrai qu'elle a expliqué au Tribunal de céans qu'une modeste amélioration était intervenue dans le courant de l'année 2007, peu avant le stage OSER, de sorte qu'il y avait bel et bien eu une aggravation par la suite qui avait à nouveau replacé l'assurée dans l'état dans lequel elle était en octobre 2004. Le Tribunal de céans constate cependant qu'on ne saurait considérer dans ces conditions qu'une aggravation soit survenue. Enfin, le diagnostic de fibromyalgie posé par les médecins traitants ne saurait être retenu à titre d'atteinte à la santé invalidante au sens de la LAI, vu l'absence d'une part de comorbidité psychiatrique grave et d'autre part des critères jugés déterminants par la jurisprudence. Reste à examiner le degré d'invalidité. Aux termes de l’art. 28 al. 1 LAI, en vigueur depuis le 1er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17. En l'espèce, le calcul auquel a procédé l'OCAI est conforme aux dispositions légales et réglementaires applicables, ainsi qu'à la jurisprudence du TFA. 18. L'assurée conteste encore le taux d'abattement supplémentaire de 10% admis par l'OCAI. Elle considère qu'il devrait être de 15%.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taux d'abattement pris en considération par l'OCAI de 10% n'est, au vu de ce qui précède, pas critiquable. 19. Il y a ainsi lieu de confirmer le degré d'invalidité de 31,11%, insuffisant pour justifier le droit à une rente d'invalidité. 20 .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21. En conséquence l'assurée, dont le degré d'invalidité est de 31,11%, a en principe droit à des mesures de réadaptation professionnelle. Le Tribunal de céans constate cependant qu'en réalité, bien qu'ayant expressément sollicité l'examen de son droit à de telles mesures, l'assurée apparaît comme peu motivée à reprendre une quelconque activité. Elle a à cet égard confirmé lors de sa comparution personnelle qu'elle ne pensait pas être capable de suivre une nouvelle mesure professionnelle. Aussi l'octroi de mesures de réadaptation professionnelle ne paraît-il pas justifié. 22. Le recours, mal fondé,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