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A/2274/2024 vom 18. März 2025</w:t>
      </w:r>
    </w:p>
    <w:p>
      <w:r>
        <w:t>GE Cour de justice, 2025-03-18, FR</w:t>
      </w:r>
    </w:p>
    <w:p>
      <w:r>
        <w:rPr>
          <w:b/>
        </w:rPr>
        <w:t xml:space="preserve">Quelle: </w:t>
      </w:r>
      <w:r>
        <w:t>https://mcp.opencaselaw.ch/entscheid/ge_gerichte_A_2274_2024</w:t>
      </w:r>
    </w:p>
    <w:p>
      <w:r>
        <w:t>FR: GE_GERICHTE A/2274/2024 du 18 mars 2025</w:t>
      </w:r>
    </w:p>
    <w:p>
      <w:r>
        <w:t>IT: GE_GERICHTE A/2274/2024 del 18 marzo 2025</w:t>
      </w:r>
    </w:p>
    <w:p>
      <w:pPr>
        <w:pStyle w:val="Heading2"/>
      </w:pPr>
      <w:r>
        <w:t>Erwägungen</w:t>
      </w:r>
    </w:p>
    <w:p>
      <w:r>
        <w:rPr>
          <w:b/>
        </w:rPr>
        <w:t>E. 16</w:t>
      </w:r>
    </w:p>
    <w:p>
      <w:r>
        <w:t>novembre 2021, le versement des prestations débutait le 1 er mai 2022. Compte tenu de la capacité de travail raisonnablement exigible de 100% depuis le</w:t>
      </w:r>
    </w:p>
    <w:p>
      <w:r>
        <w:rPr>
          <w:b/>
        </w:rPr>
        <w:t>E. 19</w:t>
      </w:r>
    </w:p>
    <w:p>
      <w:r>
        <w:t>septembre 2023, il avait procédé à une comparaison des revenus sans invalidité (CHF 101'263.-) et avec invalidité (CHF 65'969.-), révélant une perte de gain de CHF 35'294.- correspondant au taux d'invalidité de 35%, lequel ne permettait plus le droit à une rente. Toutefois, suite à une modification du règlement de l'assurance-invalidité le 1 er janvier 2024, une déduction forfaitaire de 10% était opérée sur les valeurs statistiques salariales du revenu avec invalidité dans les situations ou la personne ne pouvait travailler qu'avec une capacité fonctionnelle dès 51%. Ainsi, à partir du 1 er janvier 2024, le calcul du degré d'invalidité devait tenir compte d'un revenu avec invalidité de CHF 59'372.-, de sorte que la perte de gain s’élevait à CHF 41'891.- et le taux d'invalidité à 41%, ouvrant ainsi le droit à une rente de 27.5%. b. Par deux décisions datées du 4 juin 2024, l'OAI a reconnu le droit de l'assuré à une rente d'invalidité entière du 1 er mai 2022 au 31 décembre 2023 et à une rente s'élevant à 27.5% d'une rente entière sur la base d'un degré d'invalidité de 41% à partir du 1 er janvier 2024, reprenant les motifs évoqués dans son projet de décision. C. a. Par actes du 4 juillet 2024, l'assuré représenté par le syndicat UNIA, a interjeté recours par-devant la chambre des assurances sociales de la Cour de justice contre les deux décisions précitées. Il a conclu, sous suite de frais et dépens, à l'annulation des décisions entreprises et à ce qu'il soit constaté qu'il avait droit à une rente d'invalidité entière. En substance, le recourant a soutenu que la décision de réduire ses prestations sur la base d'un changement d'activité théorique n'était pas réaliste, au vu de son âge, de sa formation, de son expérience et de l'état du marché du travail. Aucune évaluation n'avait été faite pour déterminer le délai d'adaptation nécessaire pour une formation complémentaire ou une reconversion professionnelle. Compte tenu de ses limitations fonctionnelles majeures qui excluaient la plupart des travaux physiques, ses chances de trouver un emploi étaient pratiquement inexistantes. Il a sollicité de pouvoir compléter son recours. b. Ces recours ont été enregistrés sous les numéros de cause A/2274/2024 et A/2275/2024. c. En date du 7 août 2024, le recourant, représenté par un avocat, a persisté dans ses conclusions. Il a fait grief à l'intimé d'avoir procédé à une instruction incomplète de son dossier, dès lors que le seul avis médical sur lequel il semblait se fonder était l'appréciation du médecin-conseil de la SUVA. Or, au stade de son appréciation, ce médecin s'était prononcé en termes purement théoriques, sans précision quant à des dates ou étapes de reprise. Il avait d'ailleurs reconnu les difficultés que présenterait une réinsertion au vu des lésions subies et relevé la poursuite du traitement au HUG. L’intimé n'avait pas déterminé de façon suffisamment fiable dans quelle mesure il jouissait d'une capacité résiduelle de travail. Compte tenu de son âge, de son profil et de son état de santé, ainsi que de ses limitations fonctionnelles, sa possibilité de retrouver un emploi était infime. Par ailleurs, les activités « légères » suggérées par le service de réadaptation, tel que la surveillance, le contrôle, le travail à l'établi ou l'activité d'accueil, ne correspondaient vraisemblablement pas à ses restrictions. Il était en outre extrêmement difficile d'imaginer qu'un employeur puisse d'emblée être attiré par son profil et soit d'accord de réaménager le temps de travail à ses diverses limitations. La reprise « théorique » d'une activité adaptée à plein temps et plein rendement apparaissait tout à fait irréaliste, ce d'autant plus sans aucun appui adapté. Sa capacité de gain était ainsi nulle. Enfin, le salaire fixé sur la base de l'enquête suisse des salaires, en tenant compte d'un plein temps et d’un plein rendement, n'était pas réaliste au vu de sa situation. Un abattement plus élevé aurait donc dû être appliqué sur le revenu avec invalidité. d. Par ordonnance du 19 août 2024, la chambre de céans a ordonné la jonction des causes A/2274/2024 et A/2275/2024 sous le numéro A/2274/2024. e. Dans sa réponse du 19 septembre 2024, l'intimé a conclu au rejet du recours et à la confirmation des décisions telles que modifiées dans le cadre de son écriture, à savoir que les décisions du 4 juin 2024 étaient réformées en ce sens que le recourant avait droit, dès le 1 er janvier 2024, à 37.5% d’une rente entière fondée sur un degré d’invalidité de 44.85%, arrondi à 45%. Il a soutenu que la situation médicale du recourant était suffisamment stabilisée pour permettre une évaluation assécurologique de son cas et la SUVA avait pris en compte l'ensemble des éléments médicaux pertinents pour déterminer sa capacité de travail. La notion même d'exigibilité était liée à une certaine forme de comportement que l'on était en droit d'attendre d'une personne et la possibilité de gain était déterminée en premier lieu par la capacité de travail résiduelle. Il avait procédé à une nouvelle détermination du degré d'invalidité et tenait désormais tenait compte d'un abattement sur le revenu d'invalide de 15% en raison de l'âge du recourant, soit 60 ans, des limitations fonctionnelles et dans une moindre mesure de l'ancienneté de 12 ans au moment de l'atteinte, ce qui paraissait conforme au droit. Concernant d'éventuelles mesures de réadaptation, le recourant se contentait de critiquer l'évaluation de manière générale et d’indiquer que les activités citées ne convenaient pas à ses limitations fonctionnelles, sans expliquer en quoi ses restrictions, lesquelles consistaient pour l'essentiel à limiter les déplacements et la station debout prolongée, l'empêcheraient d'exercer les activités suggérées. En outre, il n'avait jamais souhaité bénéficier des mesures proposées, déjà dans le cadre de l'intervention précoce. Il apparaissait donc clairement qu'il ne présentait aucune aptitude subjective à la réadaptation. Son âge ne constituait pas un obstacle insurmontable à sa réinsertion professionnelle et il disposait d'atouts pour retrouver un emploi, dont des compétences de conduite d'équipe, d'organisation de chantier et gestion de commandes et de stock de matériel, selon ses certificats de travail. L'intimé a joint un document relatif à la détermination du degré d'invalidité. f. Dans ses déterminations du 18 octobre 2024, le recourant a entièrement persisté dans ses conclusions. La brève appréciation du médecin de la SUVA ne permettait pas à l’intimé de statuer sur son droit aux prestations, étant rappelé que le Dr F______ ne s'était pas prononcé après une pleine étude du dossier médical, comme l'attestait le fait qu'il avait mentionné se baser sur le rapport de consultation du 13 juillet 2023, les clichés radiologiques du 13 juillet 2023 et l'entretien téléphonique du 28 juillet 2023. En outre, lorsque ce médecin s'était déterminé sur l'exigibilité d'une reprise, il l'avait fait avec précaution, en évoquant les termes « théoriques », « propose », « envisage », et avait relativisé sa position compte tenu d'un contexte qu'il estimait difficile, et il ne datait pas l'éventuelle reprise. Ces éléments menaient à penser que des investigations complémentaires étaient fortement suggérées. De surcroît, la dernière consultation par le médecin de la SUVA avait eu lieu le 15 mars 2023 et le Dr F______ ne l’avait jamais vu. Il a également relevé que le dossier de l'intimé ne contenait aucun rapport de ses médecins traitants pouvant renseigner de manière complète sur son état et qu’il avait subi une nouvelle lésion traumatique au coude droit suite à une fracture le</w:t>
      </w:r>
    </w:p>
    <w:p>
      <w:r>
        <w:rPr>
          <w:b/>
        </w:rPr>
        <w:t>E. 23</w:t>
      </w:r>
    </w:p>
    <w:p>
      <w:r>
        <w:t>avril 2024 ayant entrainé une fracture du coude droit ; -          une attestation du 17 octobre 2024 de son médecin traitant, le docteur G______, spécialiste en médecine interne générale ; -          une note de suite du 16 octobre 2024 du docteur H______, médecin au HUG ; -          des documents relatifs à des recherches d'emplois. g. Le 12 novembre 2024, l'intimé a conclu à ce que la chambre de céans procède à un complément d'instructions. Il a annexé un avis du 8 novembre 2024 de la docteure I______, médecin au SMR, relevant que de nouvelles atteintes étaient présentées, dont un infarctus « NSTEMI » sur occlusion de la circonflexe motivant la pose de stent en août 2021, avec la mise en évidence d'une fraction d'élection du ventricule gauche légèrement diminuée, une fracture du coude droit en avril 2024 et une atteinte de l'épaule droite présente depuis 2021, en cours d'investigations. Concernant l'infarctus de 2021, cette atteinte entrainait habituellement les limitations suivantes en lien avec le travail de force, le travail en ambiance froide ou très chaude (pas de travail sur les chantiers) et les activités stressantes. Le recourant avait par la suite effectué une réadaptation cardio-vasculaire de niveau II sans complications. En l'absence d'aggravation cardiovasculaire, sa capacité de travail devrait être de 100% dans une activité adaptée aux restrictions cardiovasculaires. S’agissant de la fracture du coude droit, traitée par attelle, en l'absence de complications, elle ne devrait pas entrainer de restrictions durables, mais pour une période limitée de trois à quatre mois environ. Quant à l'atteinte de l'épaule droite, déjà présente lors de l'hospitalisation de 2021 dans les suites de l'accident, elle n'était pas présentée comme inquiétante, avec une mobilité articulaire conservée. La SUVA, dans son rapport final n'avait pas retenu de limitations en relation avec cette affection. Ces atteintes, antérieures à la décision, pourraient entrainer de nouvelles limitations fonctionnelles au niveau du membre supérieur droit et possiblement au niveau cardiologique. Étant donné que des investigations médicales étaient en cours pour le membre supérieur droit, avec une consultation orthopédique aux HUG, il convenait de prendre connaissance du rapport de consultation spécialisée, et demander un avis au cardiologue. h. Copie de cette écriture a été transmise au recourant le 18 novembre 2024. i. Sur ce, la cause a été gardée à juger.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Le délai de recours est de trente jours (art. 56 LPGA ; art. 62 al. 1 de la loi sur la procédure administrative du 12 septembre 1985 [LPA - E 5 10]). Interjeté dans la forme et le délai prévus par la loi, le recours est recevable. 2. 2.1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2.2 En l’occurrence, l’intimé a reconnu le droit du recourant à une rente d’invalidité à partir du 1 er mai 2022, date qui n’est pas contestée, de sorte que les dispositions légales applicables seront citées dans leur nouvelle teneur. 3. Le litige porte sur le bien-fondé des décisions de l’intimé du 4 juin 2024, singulièrement sur la réduction, à compter du 1 er janvier 2024, de la rente d’invalidité entière octroyée dès le 1 er mai 2022.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4.1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L’art. 17 al. 1 LPGA dispose que la rente d'invalidité est, d'office ou sur demande, révisée pour l'avenir, à savoir augmentée, réduite ou supprimée, lorsque le taux d'invalidité de l'assuré subit une modification d'au moins 5 points de pourcentage (let. a) ou atteint 100% (let. b).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 er juin 2016 consid. 4.3 ;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w:t>
      </w:r>
    </w:p>
    <w:p>
      <w:r>
        <w:rPr>
          <w:b/>
        </w:rPr>
        <w:t>E. 25</w:t>
      </w:r>
    </w:p>
    <w:p>
      <w:r>
        <w:t>juillet 2018 consid. 4.2). 5. En l’espèce, l’intimé s’est fondé, pour déterminer la capacité de travail exigible du recourant dans une activité adaptée, sur le rapport du 19 septembre 2023 du Dr F______, médecin-conseil de la SUVA, lequel a estimé que l’intéressé n’était plus en mesure d’exercer son activité habituelle de plâtrier peintre, mais qu’il disposait d’une capacité de travail entière dans une activité adaptée aux limitations fonctionnelles énoncées. La chambre de céans constate d’emblée avec le recourant que cette évaluation a été rendue en tenant compte des seules atteintes à la santé découlant de l’accident du 23 décembre 2020, au cours duquel l’intéressé s’est blessé aux niveaux de la cheville gauche et du genou droit. L’appréciation du Dr F______, de même d’ailleurs que celle du Dr E______, ne portait manifestement pas sur l’ensemble des troubles dont souffre le recourant. L’intimé ne pouvait donc pas se fonder sur ce seul document pour tirer des conclusions sur sa capacité de travail résiduelle, et partant pour réduire la rente d’invalidité à partir du 1 er janvier 2024. Elle observe en second lieu que si l’intimé avait procédé à l’instruction médicale du dossier qui lui incombait, il aurait été informé du fait que le recourant présente plusieurs autres troubles susceptibles d’entraîner des limitations fonctionnelles, ce qui est au demeurant admis par le SMR. À cet égard, elle relèvera encore que contrairement à ce que soutient ce dernier, le fait que la SUVA n’ait pas tenu compte des troubles au niveau de l’épaule droite est sans pertinence, puisque cet assureur n’avait pas à se déterminer sur d’autres lésions que celles en lien de causalité avec l’accident du 21 décembre 2020. Il ressort clairement de la note de suite du 16 octobre 2024 du Dr H______ que le recourant présente une lésion de la coiffe des rotateurs depuis 2021 et une fracture du capitellum, lesquelles limitent les activités manuelles, dont le port de charge, ainsi que les mouvements répétés de l'épaule et du coude. D’ailleurs, une consultation spécialisée pour effectuer un bilan de la coiffe, comprenant des examens radiologiques, a été demandée. Le recourant a en outre subi une angioplastie et la pose d’un stent actif le 21 août 2021 suite à un infarctus du myocarde, selon le rapport du 21 octobre 2021 des HUG. Dès lors que la décision litigieuse repose sur une instruction manifestement lacunaire, il se justifie de renvoyer le dossier à l’intimé pour qu’il procède aux investigations qui s’imposent. Il n’appartient en effet pas à la chambre de céans de pallier les carences de l'intimé. Si ce dernier considère, aux termes de son instruction, que le recourant dispose d’une capacité de travail résiduelle exploitable, il conviendra encore d’examiner le droit à des mesures d’ordre professionnel, étant relevé que le recourant les sollicite expressément, quand bien même il avait dans un premier temps refusé les cours de français et la mesure d’orientation proposés. 6. Le recours sera en conséquence partiellement admis, la décision querellée annulée, la cause renvoyée à l’intimé pour instruction complémentaire et nouvelle décision. Pour le surplus, le recourant obtenant partiellement gain de cause, une indemnité de CHF 2'000.-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