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A/2269/2014 vom 4. Dezember 2014</w:t>
      </w:r>
    </w:p>
    <w:p>
      <w:r>
        <w:t>GE Cour de justice, 2014-12-04, FR</w:t>
      </w:r>
    </w:p>
    <w:p>
      <w:r>
        <w:rPr>
          <w:b/>
        </w:rPr>
        <w:t xml:space="preserve">Quelle: </w:t>
      </w:r>
      <w:r>
        <w:t>https://mcp.opencaselaw.ch/entscheid/ge_gerichte_A_2269_2014</w:t>
      </w:r>
    </w:p>
    <w:p>
      <w:r>
        <w:t>FR: GE_GERICHTE A/2269/2014 du 4 décembre 2014</w:t>
      </w:r>
    </w:p>
    <w:p>
      <w:r>
        <w:t>IT: GE_GERICHTE A/2269/2014 del 4 dicembre 2014</w:t>
      </w:r>
    </w:p>
    <w:p>
      <w:pPr>
        <w:pStyle w:val="Heading2"/>
      </w:pPr>
      <w:r>
        <w:t>Regeste</w:t>
      </w:r>
    </w:p>
    <w:p>
      <w:r>
        <w:t>LOI SUR L'ASSURANCE CHÔMAGE ; DÉLAI-CADRE ; PÉRIODE DE COTISATIONS ; LIBÉRATION DES CONDITIONS POUR LA PÉRIODE DE COTISATION ; FORMATION(EN GÉNÉRAL) | Lorsque le séjour de l'assuré à l'étranger (dans un Etat non membre de l'UE ou de l'AELE) a duré plus d'une année, les motifs de libération de l'art. 14 al. 1 et al 3 sont cumulables (ATF | LACI.9; LACI.13.1; LACI.14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 recours sera partiellement admis, la décision litigieuse annulée et la cause sera renvoyée à l'intimée afin qu'elle examine le droit du recourant à l'indemnité de chômage pour la période en cause.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