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A/2255/2023 vom 11. Oktober 2023</w:t>
      </w:r>
    </w:p>
    <w:p>
      <w:r>
        <w:t>GE Cour de justice, 2023-10-11, FR</w:t>
      </w:r>
    </w:p>
    <w:p>
      <w:r>
        <w:rPr>
          <w:b/>
        </w:rPr>
        <w:t xml:space="preserve">Quelle: </w:t>
      </w:r>
      <w:r>
        <w:t>https://mcp.opencaselaw.ch/entscheid/ge_gerichte_A_2255_2023</w:t>
      </w:r>
    </w:p>
    <w:p>
      <w:r>
        <w:t>FR: GE_GERICHTE A/2255/2023 du 11 octobre 2023</w:t>
      </w:r>
    </w:p>
    <w:p>
      <w:r>
        <w:t>IT: GE_GERICHTE A/2255/2023 del 11 ottobre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 délai de recours est de trente jours (art. 60 al. 1 LPGA; art. 43 LPCC; art. 62 al. 1 let. a de la loi sur la procédure administrative du 12 septembre 1985 [LPA-GE - E 5 10] et art. 43 LPCC). ![endif]&gt;![if&gt;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w:t>
      </w:r>
    </w:p>
    <w:p>
      <w:r>
        <w:rPr>
          <w:b/>
        </w:rPr>
        <w:t>E. 3</w:t>
      </w:r>
    </w:p>
    <w:p>
      <w:r>
        <w:t>Des modifications législatives et réglementaires sont entrées en vigueur au 1 er janvier 2021 dans le cadre de la réforme des PC (LPC, modification du 22 mars 2019, RO 2020 585, FF 2016 7249; OPC-AVS/AI [ordonnance du 15 janvier 1971 sur les prestations complémentaires à l’assurance-vieillesse, survivants et invalidité ; RS 831.301], modification du 29 janvier 2020, RO 2020 599).![endif]&gt;![if&gt; Du point de vue temporel, sous réserve de dispositions particulières de droit transitoire, le droit applicable est déterminé par les règles en vigueur au moment où les faits juridiquement déterminants se sont produits (ATF 144 V 210 consid. 4.3.1 et les références; ATF 136 V 24 consid. 4.3; ATF 130 V 445 consid. 1 et les références; ATF 129 V 1 consid. 1.2 et les références). En l’occurrence, la décision litigieuse porte sur la restitution de prestations complémentaires versées du 1 er janvier 2021 au 28 février 2022, de sorte que sont applicables les dispositions légales et réglementaires en vigueur dès le 1 er janvier 2021.</w:t>
      </w:r>
    </w:p>
    <w:p>
      <w:r>
        <w:rPr>
          <w:b/>
        </w:rPr>
        <w:t>E. 4</w:t>
      </w:r>
    </w:p>
    <w:p>
      <w:r>
        <w:t>![endif]&gt;![if&gt;</w:t>
      </w:r>
    </w:p>
    <w:p>
      <w:r>
        <w:rPr>
          <w:b/>
        </w:rPr>
        <w:t>E. 4.1</w:t>
      </w:r>
    </w:p>
    <w:p>
      <w:r>
        <w:t>![endif]&gt;![if&gt;</w:t>
      </w:r>
    </w:p>
    <w:p>
      <w:r>
        <w:rPr>
          <w:b/>
        </w:rPr>
        <w:t>E. 4.1.1</w:t>
      </w:r>
    </w:p>
    <w:p>
      <w:r>
        <w:t>Le recourant a fait valoir que l’intimé avait déjà statué sur les prestations en 2021 et 2022 par ses décisions du 26 mars 2021, qui avait été confirmée par la décision sur opposition du 24 juin 2021, et du 1 er décembre 2021 et que ces décisions étaient entrées en force. Au moment de leur notification, l’intimé était déjà au courant des versements de la CPEG, de sorte qu’il n’y avait aucun fait nouveau justifiant la révision de ces décisions. L’intimé ne pouvait donc revoir la situation du recourant par la décision litigieuse, ni lui demander le remboursement des prestations qui lui avaient été versées à juste titre.![endif]&gt;![if&gt;</w:t>
      </w:r>
    </w:p>
    <w:p>
      <w:r>
        <w:rPr>
          <w:b/>
        </w:rPr>
        <w:t>E. 4.1.2</w:t>
      </w:r>
    </w:p>
    <w:p>
      <w:r>
        <w:t>L’intimé a rappelé que le recourant avait reçu CHF 92'801.80 en décembre 2020 à titre rétroactif de la CPEG et que ce montant, cumulé à ses autres éléments de fortune, s’élevait à CHF 99'071.-. Le recourant avait continué à bénéficier des prestations complémentaires jusqu’au mois de mars 2021. ![endif]&gt;![if&gt; Le 23 janvier 2023, il avait transmis un relevé à jour de ses comptes bancaires au 31 décembre 2022 à l’intimé, qui avait ainsi mis à jour sa fortune et renoncé à tenir compte d’un bien dessaisi. Pour la période préalable, le recourant n’avait à aucun moment produit ou remis à l’intimé ses relevés bancaires à jour, ce qui aurait permis de corriger le montant de sa fortune. Le fait de corriger la prise en compte de la fortune n’était pas punitif.</w:t>
      </w:r>
    </w:p>
    <w:p>
      <w:r>
        <w:rPr>
          <w:b/>
        </w:rPr>
        <w:t>E. 4.2</w:t>
      </w:r>
    </w:p>
    <w:p>
      <w:r>
        <w:t>![endif]&gt;![if&gt;</w:t>
      </w:r>
    </w:p>
    <w:p>
      <w:r>
        <w:rPr>
          <w:b/>
        </w:rPr>
        <w:t>E. 4.2.1</w:t>
      </w:r>
    </w:p>
    <w:p>
      <w:r>
        <w:t>Selon l’art. 23 de l'ordonnance sur les prestations complémentaires à l'assurance-vieillesse, survivants et invalidité du 15 janvier 1971 ; OPC-AVS/AI - RS 831.301),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3).![endif]&gt;![if&gt; Selon l’art. 25 al. 1 OPC-AVS/AI, la prestation complémentaire annuelle doit être augmentée, réduite ou supprimée: a.       lors de chaque changement survenant au sein d’une communauté de personnes comprises dans le calcul de la prestation complémentaire annuelle ;![endif]&gt;![if&gt; b.      lors de chaque modification de la rente de l’assurance-vieillesse et survivants ou de l’assurance-invalidité ;![endif]&gt;![if&gt;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;![endif]&gt;![if&gt; d.      lors d’un contrôle périodique, si l’on constate un changement des dépenses reconnues, des revenus déterminants et de la fortune; on pourra renoncer à rectifier la prestation complémentaire annuelle, lorsque la modification est inférieure à 120 francs par an.![endif]&gt;![if&gt; Selon l’al. 2 de l’art. 25 OPC-AVS/AI, la nouvelle décision doit porter effet dès la date suivante : a.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;![endif]&gt;![if&gt; b.      dans les cas prévus par l’al. 1, let. c, lors d’une augmentation de l’excédent des dépenses, dès le début du mois au cours duquel le changement a été annoncé, mais au plus tôt à partir du mois dans lequel celui-ci est survenu ;![endif]&gt;![if&gt; c.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;![endif]&gt;![if&gt; d.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violée.![endif]&gt;![if&gt; Selon l’al. 3 de l’art. 25 OPC-AVS/AI, suite à une diminution de la fortune, un nouveau calcul de la prestation complémentaire annuelle ne peut être effectué qu’une fois par an.</w:t>
      </w:r>
    </w:p>
    <w:p>
      <w:r>
        <w:rPr>
          <w:b/>
        </w:rPr>
        <w:t>E. 4.2.2</w:t>
      </w:r>
    </w:p>
    <w:p>
      <w:r>
        <w:t>S'agissant des prestations complémentaires fédérales, 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![endif]&gt;![if&gt;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ATF 138 V 426 consid. 5.2.1 et les références; ATF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4.2.3</w:t>
      </w:r>
    </w:p>
    <w:p>
      <w:r>
        <w:t>Au plan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2).![endif]&gt;![if&gt;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4.2.4</w:t>
      </w:r>
    </w:p>
    <w:p>
      <w:r>
        <w:t>En vertu de l'art. 25 al. 2 1 ère phrase LPGA (dans sa teneur en vigueur à compter du 1 er janvier 2021), le droit de demander la restitution s'éteint trois ans après le moment où l'institution d’assurance a eu connaissance du fait, mais au plus tard cinq ans après le versement de la prestation. ![endif]&gt;![if&gt; Jusqu’au 31 décembre 2020, l’art. 25 al. 2 phr. 1 LPGA prévoyait que le droit de demander la restitution s’éteignait un an après le moment où l’institution d’assurance avait eu connaissance du fait, mais au plus tard cinq ans après le versement de la prestation. Étant donné que, d'un point de vue temporel, les règles de droit déterminantes sont en principe celles qui s'appliquent lors de l'accomplissement des faits entraînant des conséquences juridiques et que, par ailleurs, le juge se base, en principe, sur les faits survenus jusqu'au moment où la décision litigieuse a été rendue (arrêt du Tribunal fédéral 9C_193/2021 du 31 mars 2022 consid. 2.2 et les références), c’est l’art. 25 al. 2 phr. 1 LPGA dans sa teneur en vigueur jusqu’au 30 décembre 2020, car le fait qui entraine une conséquence juridique en l’occurrence est la prise en compte du rétroactif de sa rente 2 ème pilier au recourant par la CPEG le 21 décembre 2020. Les délais de l’art. 25 al. 2 LPGA sont des délais (relatif et absolu) de péremption, qui doivent être examinés d'office (ATF 146 V 217 consid. 2.1 et les références; ATF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Le délai de péremption absolu de cinq ans commence à courir à la date du versement effectif de la prestation, et non à la date à laquelle elle aurait dû être fournie (ATF 112 V 180 consid. 4a et les références).</w:t>
      </w:r>
    </w:p>
    <w:p>
      <w:r>
        <w:rPr>
          <w:b/>
        </w:rPr>
        <w:t>E. 4.2.5</w:t>
      </w:r>
    </w:p>
    <w:p>
      <w:r>
        <w:t>Le délai de péremption relatif commence à courir dès le moment où l'administration aurait dû connaître les faits fondant l'obligation de restituer, en faisant preuve de l'attention que l'on pouvait raisonnablement exiger d'elle (ATF 148 V 217 consid. 5.1.1 et les références; ATF 140 V 521 consid. 2.1 et les références;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ATF 146 V 217 consid. 2.1 et les références;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arrêt du Tribunal fédéral 8C_754/2020 du 11 juin 2021 consid. 5.2 et les références). ![endif]&gt;![if&gt;</w:t>
      </w:r>
    </w:p>
    <w:p>
      <w:r>
        <w:rPr>
          <w:b/>
        </w:rPr>
        <w:t>E. 4.3</w:t>
      </w:r>
    </w:p>
    <w:p>
      <w:r>
        <w:t>![endif]&gt;![if&gt;</w:t>
      </w:r>
    </w:p>
    <w:p>
      <w:r>
        <w:rPr>
          <w:b/>
        </w:rPr>
        <w:t>E. 4.3.1</w:t>
      </w:r>
    </w:p>
    <w:p>
      <w:r>
        <w:t>En l’espèce, la chambre de céans constate que l’intimé a pris connaissance le 18 décembre 2020 du courrier de la CPEG du 9 décembre 2020 – qui informait l’intéressé qu’il avait droit à une rente d’invalidité dès novembre 2016 ainsi qu’à un rétroactif – et le 6 janvier 2021 de l’extrait du compte privé du recourant dont il résultait que celui-ci avait reçu CHF 94'782.25 le 21 décembre 2020 de la CPEG et qu’il avait versé CHF 40'000.- le 11 mai 2020 à B______.![endif]&gt;![if&gt; Le 12 mars 2021, l’intimé a demandé au recourant, afin de mettre à jour son dossier, une copie des relevés mentionnant le capital et intérêts au 31 décembre 2020 de ses deux comptes au Crédit Suisse en lui indiquant à quoi correspondait son paiement de CHF 40'000.- effectué le 11 mai 2020. Cette demande se justifiait pour fixer l’épargne dès le 1 er janvier 2021 – ce qui devait se faire sur la base du relevé de compte au 31 janvier 2020, selon l’art. 23 OPC-AVS/AI –, pour obtenir le solde des deux comptes bancaires de l’intéressé afin de déterminer la totalité de son épargne et enfin pour avoir des explications sur le versement de CHF 40'000.- fait par le recourant à son frère. L’intimé a reçu les explications et les extraits de comptes demandés au recourant le 7 avril 2021. Cela explique pour quel motif, il n’a pas mis à jour l’épargne du recourant, en particulier pour l’année 2020 et dès 2021, dans sa décision du 26 mars 2021, qui pour rappel portait sur la période du 1 er novembre 2016 au 31 janvier 2020 et dès le 1 er janvier 2021. Dans cette décision, il a tenu compte de la rente 2 ème pilier due au recourant depuis le 1 er novembre 2016, mais a repris les montant de l’épargne déjà pris en compte dans sa décision précédente du 5 décembre 2020 pour la période du 1 er novembre 2016 au 31 janvier 2020. Pour la période dès le 1 er janvier 2021, il a pris en compte CHF 50.-. Ce n’est que dans sa décision du 22 février 2022 que l’intimé a tenu compte pour la première fois du rétroactif versé au recourant par la CPEG, en retenant, au titre d’épargne CHF 90'071.05, plus le capital LPP de CHF 15'340.95 au 31 décembre 2021, montants qui portaient la fortune de l’intéressé au-delà du seuil légal de CHF 100'000.- (à teneur des explications données dans sa décision sur opposition du 11 janvier 2023 faisant suite à sa décision du 22 février 2022), ce qui excluait le droit aux prestations. L’intimé pouvait réviser la décision du 26 mars 2021, qui ne tenait pas compte du rétroactif de la CPEG pour la période dès le 1 er janvier 2021, car il avait terminé, le 7 avril 2021, son instruction sur l’épargne du recourant au 31 décembre 2020. Il a agi dans le délai de péremption d’un an en prenant sa décision le 22 février 2022. Le délai de péremption était ainsi sauvegardé. La décision du 22 février 2022 n’est pas entrée en force, puisqu’elle a fait l’objet d’une opposition et d’une décision sur opposition le 11 janvier 2023, contre laquelle un recours a été interjeté. Dans le cadre de la procédure de recours, l’intimé a reconsidéré sa position le 5 mai 2023 et admis que la fortune du recourant ne dépassait pas le seuil de CHF 100'000.-. En effet, il avait tenu compte à tort dans l’épargne du recourant du capital LPP de CHF 13'340.-, lequel n’existait plus au 1 er janvier 2020, car il avait été transféré à la CPEG pour permettre le versement d’une rente. La fortune du recourant s’élevait ainsi à CHF 99’072.60, ce qui était inférieur à CHF 100'000. L’intimé a en conséquence recalculé le droit aux prestations dans sa décision sur opposition du 5 mai 2013, en mettant à jour l’épargne du recourant, en tenant compte de CHF 99'071.25 à ce titre pour la période de janvier 2021 au 31 décembre 2022, puis de CHF 3.236.20 dès janvier 2023, sur la base des relevés de compte au 31 décembre 2022 transmis par le recourant le 23 janvier 2023. Le calcul de l’épargne pour l’année 2021 est correct en tenant compte des relevés de comptes au 31 décembre 2021 transmis à la chambre de céans dans le cadre du recours contre la décision de remise. En revanche, il en ressort que l’épargne du recourant s’élevait à CHF 1'982.37 au total sur les deux comptes au 31 décembre 2021, de sorte que c’est ce dernier montant, et non CHF 99'071.25, qui aurait dû être pris en compte au titre de l’épargne pour l’année 2022 dans la décision du 5 mai 2023, étant rappelé que selon l’art. 25 al. 3 OPC-AVS/AI, suite à une diminution de la fortune, un nouveau calcul de la prestation complémentaire annuelle ne peut être effectué qu’une fois par an. L’épargne prise en compte pour l’année 2023 n’est pas contestée.</w:t>
      </w:r>
    </w:p>
    <w:p>
      <w:r>
        <w:rPr>
          <w:b/>
        </w:rPr>
        <w:t>E. 5</w:t>
      </w:r>
    </w:p>
    <w:p>
      <w:r>
        <w:t>Le recours est ainsi partiellement admis.![endif]&gt;![if&gt; La décision du 5 mai 2023 sera annulée et la cause renvoyée à l’intimé pour nouvelle décision mettant à jour l’épargne pour l’année 2022. Le recourant obtenant partiellement gain de cause et étant assisté d’un conseil, il a droit à des dépens qui seront fixés à CHF 2'500.- et mis à la charge de l’intimé (art. 61 let. g LPGA).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