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A/2250/2024 vom 2. Oktober 2024</w:t>
      </w:r>
    </w:p>
    <w:p>
      <w:r>
        <w:t>GE Cour de justice, 2024-10-02, FR</w:t>
      </w:r>
    </w:p>
    <w:p>
      <w:r>
        <w:rPr>
          <w:b/>
        </w:rPr>
        <w:t xml:space="preserve">Quelle: </w:t>
      </w:r>
      <w:r>
        <w:t>https://mcp.opencaselaw.ch/entscheid/ge_gerichte_A_2250_2024</w:t>
      </w:r>
    </w:p>
    <w:p>
      <w:r>
        <w:t>FR: GE_GERICHTE A/2250/2024 du 2 octobre 2024</w:t>
      </w:r>
    </w:p>
    <w:p>
      <w:r>
        <w:t>IT: GE_GERICHTE A/2250/2024 del 2 ottobre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Le recourant a été mis en liberté et a quitté la Brenaz le 16 septembre 2024, ce qui pose la question de son intérêt actuel au recours.</w:t>
      </w:r>
    </w:p>
    <w:p>
      <w:r>
        <w:rPr>
          <w:b/>
        </w:rPr>
        <w:t>E. 2.1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rPr>
          <w:b/>
        </w:rPr>
        <w:t>E. 2.2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2.4</w:t>
      </w:r>
    </w:p>
    <w:p>
      <w:r>
        <w:t>La jurisprudence a toutefois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ATA/460/2023 du 2 mai 2023 consid. 3.2).</w:t>
      </w:r>
    </w:p>
    <w:p>
      <w:r>
        <w:rPr>
          <w:b/>
        </w:rPr>
        <w:t>E. 2.5</w:t>
      </w:r>
    </w:p>
    <w:p>
      <w:r>
        <w:t>En l’espèce, le recourant a été libéré le 16 septembre 2024. Il ne fait valoir aucun grief de violation de ses droits de rang conventionnel. En application de la jurisprudence constante de la chambre de céans, il n’y a dès lors aucune raison de passer outre l’exigence de l’intérêt actuel ( ATA/765/2023 du 13 juillet 2023 ; ATA/672/2023 du 21 juin 2023 ; ATA/575/2023 du 1 er juin 2023). Par ailleurs, les prétentions en responsabilité civile sont de la compétence du Tribunal civil de première instance (art. 7 de la loi sur la responsabilité de l'État et des communes du 24 février 1989 - LREC - A 2 40). Vu ce qui précède, le recours a perdu son objet en cours de procédure, ce qu’il y a lieu de constater, et la cause devra être rayée du rôle.</w:t>
      </w:r>
    </w:p>
    <w:p>
      <w:r>
        <w:rPr>
          <w:b/>
        </w:rPr>
        <w:t>E. 3</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