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A/2248/2011 vom 19. Mai 2011</w:t>
      </w:r>
    </w:p>
    <w:p>
      <w:r>
        <w:t>GE Cour de justice, 2011-05-19, FR</w:t>
      </w:r>
    </w:p>
    <w:p>
      <w:r>
        <w:rPr>
          <w:b/>
        </w:rPr>
        <w:t xml:space="preserve">Quelle: </w:t>
      </w:r>
      <w:r>
        <w:t>https://mcp.opencaselaw.ch/entscheid/ge_gerichte_A_2248_2011</w:t>
      </w:r>
    </w:p>
    <w:p>
      <w:r>
        <w:t>FR: GE_GERICHTE A/2248/2011 du 19 mai 2011</w:t>
      </w:r>
    </w:p>
    <w:p>
      <w:r>
        <w:t>IT: GE_GERICHTE A/2248/2011 del 19 maggio 2011</w:t>
      </w:r>
    </w:p>
    <w:p>
      <w:pPr>
        <w:pStyle w:val="Heading2"/>
      </w:pPr>
      <w:r>
        <w:t>Volltext</w:t>
      </w:r>
    </w:p>
    <w:p>
      <w:r>
        <w:t>Genève Cour de justice (Cour de droit public) Chambre des assurances sociales 08.08.2011 A/2248/2011</w:t>
      </w:r>
    </w:p>
    <w:p>
      <w:r>
        <w:t>A/2248/2011 ATAS/725/2011 du 08.08.2011 ( CHOMAG ) RÉPUBLIQUE ET CANTON DE GENÈVE POUVOIR JUDICIAIRE A/2248/2011 ATAS/725/2011 COUR DE JUSTICE Chambre des assurances sociales Arrêt incident du 8 août 2011 1 ère Chambre En la cause Madame M__________, domiciliée c/o M. N__________, au Grand-Saconnex recourante contre CAISSE CANTONALE GENEVOISE DE CHOMAGE, sise rue de Montbrillant 40, 1211 Genève 2 intimée Attendu en fait que Madame M__________ a déposé le 1 er août 2007 une demande visant à l'octroi d'indemnités de chômage auprès de la CAISSE CANTONALE GENEVOISE DE CHOMAGE (ci-après la Caisse), de sorte qu'un délai-cadre d'indemnisation lui a été ouvert à compter de cette date ; Que constatant que l'assurée avait exercé une activité lucrative salariée au service de divers employeurs du 1 er novembre 2007 au 31 décembre 2008, la Caisse a, par décision du 19 mai 2011, procédé à un nouveau calcul des indemnités dues en tenant compte des gains intermédiaires réalisés, et a réclamé à l'assurée le paiement de la somme de 14'468 fr. 30, représentant les prestations versées à tort du 1 er novembre 2007 au 31 décembre 2008 ; Que par courrier du 6 juin 2011, l'assurée a allégué avoir été de bonne foi et être dans une situation financière difficile ; Que le 21 juin 2011, la Caisse a relevé que l'assurée n'avait jamais signalé l'existence de ses emplois sur les formulaires IPA (Indications de la personne assurée), qu'elle avait au contraire toujours répondu par la négative à la première question du formulaire rédigée comme suit : "Avez-vous travaillé chez un ou plusieurs employeurs ?" ; qu'elle lui a proposé un plan de paiement à raison de 500 fr. par mois sans intérêts à partir de fin juin 2011 ; qu'elle a précisé que son courrier valait décision sur opposition et pouvait faire l'objet d'un recours auprès de la Cour de céans ; Que l'assurée a interjeté recours le 21 juillet 2011 contre ladite décision ; qu'elle a indiqué en marge de son courrier : "Recours suspensif jusqu'au 15 août 2011" ; Que la Caisse a été invitée à se déterminer sur la question de l'effet suspensif d'ici au 8 août 2011 ; Que par courrier du 4 août 2011, la Caisse a indiqué qu'elle ne s'opposait pas au rétablissement de l'effet suspensif ; Que la cause a été gardée à juger sur mesures provisionnelles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Qu'interjeté dans les formes et délais légaux, le recours est recevable (art. 1 LACI, 38, 56 et 60 LPGA) ; Qu'il convient d'admettre que la Caisse a bel et bien retiré l'effet suspensif au recours, dans la mesure où elle propose un plan de paiement valable à compter de fin juin 2011 ; que l'assurée, en indiquant en marge de son recours "Recours suspensif jusqu'au 15 août 2011" a vraisemblablement requis le rétablissement de l'effet suspensif ; Qu'il y a dès lors lieu d'examiner préalablement la question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la Caisse ne s'opposant pas au rétablissement de l'effet suspensif, d'une part, et s'agissant de remboursement de prestations, d'autre part, il se justifie d'admettre la requête de l'assurée et de lui restituer l'effet suspensif ; PAR CES MOTIFS, LA CHAMBRE DES ASSURANCES SOCIALES : Statuant A la forme : Déclare le recours recevable. Sur incident : Admet la requête et restitue l’effet suspensif.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