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A/2239/2010 vom 23. September 2011</w:t>
      </w:r>
    </w:p>
    <w:p>
      <w:r>
        <w:t>GE Cour de justice, 2011-09-23, FR</w:t>
      </w:r>
    </w:p>
    <w:p>
      <w:r>
        <w:rPr>
          <w:b/>
        </w:rPr>
        <w:t xml:space="preserve">Quelle: </w:t>
      </w:r>
      <w:r>
        <w:t>https://mcp.opencaselaw.ch/entscheid/ge_gerichte_A_2239_2010</w:t>
      </w:r>
    </w:p>
    <w:p>
      <w:r>
        <w:t>FR: GE_GERICHTE A/2239/2010 du 23 septembre 2011</w:t>
      </w:r>
    </w:p>
    <w:p>
      <w:r>
        <w:t>IT: GE_GERICHTE A/2239/2010 del 23 settembre 2011</w:t>
      </w:r>
    </w:p>
    <w:p>
      <w:pPr>
        <w:pStyle w:val="Heading2"/>
      </w:pPr>
      <w:r>
        <w:t>Erwägungen</w:t>
      </w:r>
    </w:p>
    <w:p>
      <w:r>
        <w:rPr>
          <w:b/>
        </w:rPr>
        <w:t>E. 1</w:t>
      </w:r>
    </w:p>
    <w:p>
      <w:r>
        <w:t>Interjeté en temps utile et devant la juridiction compétente, le recours est, prima facie , recevable sous ces angles (art. 132 de la loi sur l’organisation judiciaire du 26 septembre 2010 - LOJ - E 2 05 ; art. 62 al. 1 de la loi sur la procédure administrative du 12 septembre 1985 - LPA - E 5 10).</w:t>
      </w:r>
    </w:p>
    <w:p>
      <w:r>
        <w:rPr>
          <w:b/>
        </w:rPr>
        <w:t>E. 2</w:t>
      </w:r>
    </w:p>
    <w:p>
      <w:r>
        <w:t>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 ème éd., Zurich - St-Gall 2010, n° 1800 ; P. MOOR/E. POLTIER, Droit administratif, vol. 2, 3 ème éd., Berne 2010, n° 5. 8. 3. 3 p. 814). 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 ATA/280/2009 du 11 juin 2009 et ATA/278/2009 du 4 juin 2009).</w:t>
      </w:r>
    </w:p>
    <w:p>
      <w:r>
        <w:rPr>
          <w:b/>
        </w:rPr>
        <w:t>E. 3</w:t>
      </w:r>
    </w:p>
    <w:p>
      <w:r>
        <w:t>En l'espèce, au début du processus décisionnel, soit lors de la demande faite en août 2009, M. A______ était au bénéfice d'une autorisation de courte durée, et séjournait ainsi légalement en Suisse ; son statut légal lui ayant ainsi été retiré par la première décision litigieuse, l'on se trouve dans la première des deux hypothèses citées au considérant précédent. Pour la même raison, l'art. 17 al. 1 LEtr ne trouve pas application ici (P. EGLI/D. MEYER, in M. CARONI/T. GÄCHTER/ D. THURNHERR [éd.], Bundesgesetz über die Ausländerinnen und Ausländer (AuG), Berne 2010, n° 8 ad art. 17 LEtr), et ne saurait dès lors avoir d'influence sur la question de l'effet suspensif.</w:t>
      </w:r>
    </w:p>
    <w:p>
      <w:r>
        <w:rPr>
          <w:b/>
        </w:rPr>
        <w:t>E. 4</w:t>
      </w:r>
    </w:p>
    <w:p>
      <w:r>
        <w:t>S'agissant de la balance des intérêts privés et publics en jeu (Arrêt du Tribunal fédéral 2C_347/2011 du 23 août 2011, consid. 3.3), au vu des circonstances particulières du cas, et notamment de la durée du séjour en Suisse de M. A______ (cf. Arrêt du Tribunal fédéral 2C_304/2010 du 16 juillet 2010, consid. 2.5), il y a lieu d'admettre que l'intérêt du recourant de pouvoir attendre en Suisse, tout en poursuivant son activité au service de son employeur, l'issue du présent recours, prime un éventuel intérêt public à la mise en application immédiate de la décision attaquée.</w:t>
      </w:r>
    </w:p>
    <w:p>
      <w:r>
        <w:rPr>
          <w:b/>
        </w:rPr>
        <w:t>E. 5</w:t>
      </w:r>
    </w:p>
    <w:p>
      <w:r>
        <w:t>L'effet suspensif sera dès lors accordé en application de l'art. 66 al. 2 LPA, le sort des frais étant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