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A/2238/2022 vom 16. Mai 2023</w:t>
      </w:r>
    </w:p>
    <w:p>
      <w:r>
        <w:t>GE Cour de justice, 2023-05-16, FR</w:t>
      </w:r>
    </w:p>
    <w:p>
      <w:r>
        <w:rPr>
          <w:b/>
        </w:rPr>
        <w:t xml:space="preserve">Quelle: </w:t>
      </w:r>
      <w:r>
        <w:t>https://mcp.opencaselaw.ch/entscheid/ge_gerichte_A_2238_2022</w:t>
      </w:r>
    </w:p>
    <w:p>
      <w:r>
        <w:t>FR: GE_GERICHTE A/2238/2022 du 16 mai 2023</w:t>
      </w:r>
    </w:p>
    <w:p>
      <w:r>
        <w:t>IT: GE_GERICHTE A/2238/2022 del 16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son audition.![endif]&gt;![if&gt;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le recourant a eu l’occasion de s’exprimer par écrit devant l’OCPM, le TAPI et la chambre de céans, et de produire toute pièce utile. Il n’expose pas quels éléments supplémentaires son audition apporterait à l’instruction de la cause. La chambre de céans dispose par ailleurs d'un dossier complet lui permettant de trancher le litige en toute connaissance de cause. Il ne sera donc pas donné suite aux demandes d'audition.![endif]&gt;![if&gt;</w:t>
      </w:r>
    </w:p>
    <w:p>
      <w:r>
        <w:rPr>
          <w:b/>
        </w:rPr>
        <w:t>E. 3</w:t>
      </w:r>
    </w:p>
    <w:p>
      <w:r>
        <w:t>Le litige porte sur la décision de l'OCPM du 22 avril 2022 refusant de prolonger l'autorisation de séjour du recourant et prononçant son renvoi de Suisse.![endif]&gt;![if&gt;</w:t>
      </w:r>
    </w:p>
    <w:p>
      <w:r>
        <w:rPr>
          <w:b/>
        </w:rPr>
        <w:t>E. 4</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![endif]&gt;![if&gt; Conformément à la règle générale posée à l'art. 126 al. 1 LEI, c'est le nouveau droit matériel qui est applicable en la cause, dès lors que l’OCPM a informé le recourant de son intention de ne pas prolonger son autorisation de séjour le 24 mars 2021 (arrêts du Tribunal fédéral 2C_145/2022 du 6 avril 2022 consid.  5 ; 2C_586/2020 du 26 novembre 2020 consid. 3.1 et les arrêts cités).</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d’Algérie.![endif]&gt;![if&gt;</w:t>
      </w:r>
    </w:p>
    <w:p>
      <w:r>
        <w:rPr>
          <w:b/>
        </w:rPr>
        <w:t>E. 5.1</w:t>
      </w:r>
    </w:p>
    <w:p>
      <w:r>
        <w:t>Le conjoint d’un ressortissant suisse a droit à l’octroi d’une autorisation de séjour et à la prolongation de sa durée de validité à condition de vivre en ménage commun avec lui (art. 42 al. 1 LEI).![endif]&gt;![if&gt;</w:t>
      </w:r>
    </w:p>
    <w:p>
      <w:r>
        <w:rPr>
          <w:b/>
        </w:rPr>
        <w:t>E. 5.2</w:t>
      </w:r>
    </w:p>
    <w:p>
      <w:r>
        <w:t>Après la dissolution de la famille, le droit du conjoint à l'octroi d'une autorisation de séjour et à la prolongation de sa durée de validité en vertu de l’art. 42 LEI subsiste si l'union conjugale a duré au moins trois ans et que les critères d’intégration définis à l’art. 58a LEI sont remplis (art. 50 al. 1 let. a LEI).![endif]&gt;![if&gt; Ces deux conditions sont cumulatives (ATF 140 II 289 consid. 3.8 ; 136 II 113 consid. 3.3.3).</w:t>
      </w:r>
    </w:p>
    <w:p>
      <w:r>
        <w:rPr>
          <w:b/>
        </w:rPr>
        <w:t>E. 5.3</w:t>
      </w:r>
    </w:p>
    <w:p>
      <w:r>
        <w:t>En l’espèce, il n’est pas contesté que l’union des époux a duré plus de trois ans. Se pose dès lors la question de l’intégration du recourant.![endif]&gt;![if&gt;</w:t>
      </w:r>
    </w:p>
    <w:p>
      <w:r>
        <w:rPr>
          <w:b/>
        </w:rPr>
        <w:t>E. 6</w:t>
      </w:r>
    </w:p>
    <w:p>
      <w:r>
        <w:t>Selon l'art. 58a al. 1 LEI, auquel se réfère l'art. 50 al. 1 let. a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art. 77a ss OASA concrétisent ces critères d'intégration (ATF 148 II 1 consid. 2.2). ![endif]&gt;![if&gt;</w:t>
      </w:r>
    </w:p>
    <w:p>
      <w:r>
        <w:rPr>
          <w:b/>
        </w:rPr>
        <w:t>E. 6.1</w:t>
      </w:r>
    </w:p>
    <w:p>
      <w:r>
        <w:t>En vertu de l'art. 77a OASA, il y a notamment non-respect de la sécurité et de l'ordre publics au sens de l'art. 58a al. 1 LEI lorsque la personne concernée viole des prescriptions légales ou des décisions d'une autorité. Selon la jurisprudence rendue sous l'empire de l'ancien droit qui garde sa pertinence pour l'interprétation du nouveau droit (arrêt du Tribunal fédéral 2C_342/2021 du 20 septembre 2021 consid. 6.2), des condamnations pénales mineures n'excluent pas forcément d'emblée la réalisation de l'intégration (arrêts du Tribunal fédéral 2C_935/2021 du 28 février 2022 consid. 5.1.2 ; 2C_342/2021 du 20 septembre 2021 consid. 6.2 ; 2C_541/2019 du 22 janvier 2020 consid. 3.4.1 et les arrêts cités). ![endif]&gt;![if&gt;</w:t>
      </w:r>
    </w:p>
    <w:p>
      <w:r>
        <w:rPr>
          <w:b/>
        </w:rPr>
        <w:t>E. 6.2</w:t>
      </w:r>
    </w:p>
    <w:p>
      <w:r>
        <w:t>À teneur de l'art. 77e OASA, une personne participe à la vie économique lorsque son revenu, sa fortune ou des prestations de tiers auxquelles elle a droit lui permettent de couvrir le coût de la vie et de s'acquitter de son obligation d'entretien.![endif]&gt;![if&gt;</w:t>
      </w:r>
    </w:p>
    <w:p>
      <w:r>
        <w:rPr>
          <w:b/>
        </w:rPr>
        <w:t>E. 6.3</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2C_935/2021 du 28 février 2022 consid. 5.1.2 ; 2C_725/2019 du 12 septembre 2019 consid. 7.2 et les arrêts cités). ![endif]&gt;![if&gt;</w:t>
      </w:r>
    </w:p>
    <w:p>
      <w:r>
        <w:rPr>
          <w:b/>
        </w:rPr>
        <w:t>E. 6.4</w:t>
      </w:r>
    </w:p>
    <w:p>
      <w:r>
        <w:t>L'absence de liens sociaux très étroits en Suisse n'exclut pas non plus d'emblée l'existence d'une intégration réussie, de même que l'absence de vie associative (arrêts du Tribunal fédéral 2C_935/2021 du 28 février 2022 consid. 5.1.2 ; 2C_642/2020 du 16 novembre 2020 consid. 5.2 et l'arrêt cité). ![endif]&gt;![if&gt;</w:t>
      </w:r>
    </w:p>
    <w:p>
      <w:r>
        <w:rPr>
          <w:b/>
        </w:rPr>
        <w:t>E. 6.5</w:t>
      </w:r>
    </w:p>
    <w:p>
      <w:r>
        <w:t>La jurisprudence a précisé que l'évaluation de l'intégration d'un étranger devait s'examiner à l'aune d'une appréciation globale des circonstances (arrêt du Tribunal fédéral 2C_342/2021 du 20 septembre 2021 et les références citées). ![endif]&gt;![if&gt;</w:t>
      </w:r>
    </w:p>
    <w:p>
      <w:r>
        <w:rPr>
          <w:b/>
        </w:rPr>
        <w:t>E. 6.6</w:t>
      </w:r>
    </w:p>
    <w:p>
      <w:r>
        <w:t>Dans l'examen de ces critères d'intégration, les autorités compétentes disposent d'un large pouvoir d'appréciation (arrêt du Tribunal fédéral 2C_385/2016 du 4 octobre 2016 consid. 4.1).![endif]&gt;![if&gt;</w:t>
      </w:r>
    </w:p>
    <w:p>
      <w:r>
        <w:rPr>
          <w:b/>
        </w:rPr>
        <w:t>E. 6.7</w:t>
      </w:r>
    </w:p>
    <w:p>
      <w:r>
        <w:t>La situation des personnes qui, du fait d’un handicap ou d’une maladie ou pour d’autres raisons personnelles majeures, ne remplissent pas ou remplissent difficilement les critères d’intégration prévus à l’al. 1 let. c et d est prise en compte de manière appropriée (art. 58a al. 2 LEI).![endif]&gt;![if&gt;</w:t>
      </w:r>
    </w:p>
    <w:p>
      <w:r>
        <w:rPr>
          <w:b/>
        </w:rPr>
        <w:t>E. 6.8</w:t>
      </w:r>
    </w:p>
    <w:p>
      <w:r>
        <w:t>À teneur des directives du SEM, (SEM, Directives et commentaires, Domaine des étrangers, 2013 - état au 1 er mars 2023, ch. 3.3.1.4.1 [ci-après : directives LEI]), l’exigence de participation à la vie économique de l’art. 58 a al. 1 let. d LEI repose sur le principe selon lequel l’intéressé doit être apte à subvenir lui-même à ses besoins. L’étranger doit en principe être en mesure de pourvoir à son propre entretien et à celui de sa famille, grâce à son revenu, à sa fortune ou à des prestations provenant de tiers auxquelles il a droit. Font partie de ces dernières, par exemple, les prestations d’entretien au titre du CC ou les prestations des assurances sociales telles que la prévoyance vieillesse, survivants et invalidité et l’indemnité de chômage. En revanche, celui qui bénéficie de l’aide sociale ne participe pas à la vie économique (arrêt du Tribunal fédéral 2C_430/2011 consid 4.2). Une dépendance à l’aide sociale peut donc entraîner la révocation de l’autorisation de droit des étrangers, bien que les causes de cette dépendance doivent être examinées de cas en cas (ATF 137 II 297 consid. 4).![endif]&gt;![if&gt; Sont indicatifs de la volonté de participer à la vie économique : un contrat de travail valable et actuel (copie du contrat, assorti d’une attestation de travail récente) ou la preuve de l’indépendance économique (par exemple exercice d’une activité indépendante) ou la démonstration des efforts fournis pour trouver un emploi comme l’inscription auprès d’un ORP, l’engagement dans des missions temporaires (postes intérimaires, emplois temporaires) ou l’attestation de gains intermédiaires qui démontrent la volonté de l’étranger de subvenir lui-même à ses besoins. L’évolution probable de la situation financière à long terme doit également peser dans la balance (arrêt du Tribunal fédéral 2C_456/2014 du 4 juin 2015 consid. 3.2).</w:t>
      </w:r>
    </w:p>
    <w:p>
      <w:r>
        <w:rPr>
          <w:b/>
        </w:rPr>
        <w:t>E. 6.9</w:t>
      </w:r>
    </w:p>
    <w:p>
      <w:r>
        <w:t>En l’espèce, le recourant vit en Suisse depuis près de neuf ans, soit une durée qui doit être qualifiée de longue. Il y a bénéficié d’une autorisation de séjour pendant cinq ans. Il n’est plus titulaire d’une telle autorisation depuis le 16 juin 2019, soit quatre ans. ![endif]&gt;![if&gt; Il dépend de l’aide sociale depuis près de quatre ans. Le montant versé est important et l’aide a été continue. Aucun élément du dossier ne permet de penser que, s’il reste en Suisse, l’intéressé pourra recouvrer sa capacité de travail et subvenir à ses besoins. S’il est louable qu’il ait conservé un emploi à raison de quinze heures par semaine pour diminuer sa dépendance à l’aide sociale, tel n’est plus le cas depuis plus de deux ans. Conformément à la directive du SEM, il ne produit ni contrat de travail valable et actuel, ni preuve de l’indépendance économique (par exemple exercice d’une activité indépendante), ni ne fait la démonstration des efforts fournis pour trouver un emploi comme l’inscription auprès d’un office régional de placement, l’engagement dans des missions temporaires (postes intérimaires, emplois temporaires) ou l’attestation de gains intermédiaires récents. Son grief à l’encontre du TAPI de ne pas lui avoir octroyé un délai pour qu’il effectue des démarches ne résiste pas à l’examen, dès lors qu’il lui appartenait de les entreprendre indépendamment de toute procédure, aux fins précisément de démontrer sa réelle volonté de ne pas dépendre de l’aide sociale. Dans ces conditions, il ne remplit pas le critère d’intégration de l’art. 58a al. 1 let d LEI. Il ne peut non plus se prévaloir de l’al. 2, dès lors qu’il ne démontre pas être en totale incapacité de travailler, ni n’en explique les causes. Si certes, les attestations médicales de la Dre D______, notamment celle du 8 février 2023, détaillent les pathologies dont il souffre, elles ne font pas mention d’une incapacité de travail. Par ailleurs, les Dr E______ et F______ ont confirmé qu’il conservait une capacité de travail de 50%. L’intéressé ne faisant pas la démonstration de sa volonté de mettre en œuvre, à tout le moins, cette capacité résiduelle de travail, il ne peut se voir appliquer l’alinéa précité. Le grief de violation de l’art. 50 al. 1 let. a LEI doit être rejeté.</w:t>
      </w:r>
    </w:p>
    <w:p>
      <w:r>
        <w:rPr>
          <w:b/>
        </w:rPr>
        <w:t>E. 7</w:t>
      </w:r>
    </w:p>
    <w:p>
      <w:r>
        <w:t>Outre les hypothèses retenues à l'art. 50 al. 1 let. a LEI, le droit au renouvellement de l'autorisation de séjour existe également si la poursuite du séjour en Suisse s'impose pour des raisons personnelles majeures (art. 50 al. 1 let. b LEI). Celles-ci sont notamment données lorsque le conjoint est victime de violence conjugale, que le mariage a été conclu en violation de la libre volonté d'un des époux ou que la réintégration sociale dans le pays de provenance semble fortement compromise (art. 50 al. 2 LEI). ![endif]&gt;![if&gt;</w:t>
      </w:r>
    </w:p>
    <w:p>
      <w:r>
        <w:rPr>
          <w:b/>
        </w:rPr>
        <w:t>E. 7.1</w:t>
      </w:r>
    </w:p>
    <w:p>
      <w:r>
        <w:t>Cette disposition a pour vocation d'éviter les cas de rigueur ou d'extrême gravité (ATF 137 II 1 consid. 3.1 ; arrêts du Tribunal fédéral 2C_500/2014 du 18 juillet 2014 consid. 7.1 ; 2C_165/2014 du 18 juillet 2014 consid. 3.1).![endif]&gt;![if&gt;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7.2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7.3</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cité).![endif]&gt;![if&gt;</w:t>
      </w:r>
    </w:p>
    <w:p>
      <w:r>
        <w:rPr>
          <w:b/>
        </w:rPr>
        <w:t>E. 7.4</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![endif]&gt;![if&gt;</w:t>
      </w:r>
    </w:p>
    <w:p>
      <w:r>
        <w:rPr>
          <w:b/>
        </w:rPr>
        <w:t>E. 7.5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5.2).![endif]&gt;![if&gt;</w:t>
      </w:r>
    </w:p>
    <w:p>
      <w:r>
        <w:rPr>
          <w:b/>
        </w:rPr>
        <w:t>E. 7.6</w:t>
      </w:r>
    </w:p>
    <w:p>
      <w:r>
        <w:t>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4.1).![endif]&gt;![if&gt;</w:t>
      </w:r>
    </w:p>
    <w:p>
      <w:r>
        <w:rPr>
          <w:b/>
        </w:rPr>
        <w:t>E. 7.7</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6.4).![endif]&gt;![if&gt;</w:t>
      </w:r>
    </w:p>
    <w:p>
      <w:r>
        <w:rPr>
          <w:b/>
        </w:rPr>
        <w:t>E. 7.8</w:t>
      </w:r>
    </w:p>
    <w:p>
      <w:r>
        <w:t>En l'espèce, la durée de séjour du recourant, à savoir d’un peu moins de neuf ans au moment de la décision, doit être qualifiée de relativement longue. Le recourant a vécu en Suisse depuis l’âge de 36 ans, après avoir vécu son enfance, son adolescence et la première partie de sa vie d'adulte en Serbie. Cette durée de séjour en Suisse n'est pas de nature à compromettre sa réintégration sociale dans son pays d'origine, avec lequel il a par ailleurs conservé des attaches au vu des six séjours qu’il y a effectués en 2014 et 2016 et de sa demande du 30 mai 2022, soutenue par son médecin, de visas. Il y conserve manifestement une part de sa famille. Il pourra mettre en avant, en Serbie, les compétences professionnelles et linguistiques acquises sur le territoire helvétique, ce qui constitue un atout pour sa réintégration. Il n’est par ailleurs âgé que de 45 ans. Si certes, il rencontre des problèmes de santé, il conserve une capacité de travail à tout le moins résiduelle de 50%.![endif]&gt;![if&gt; Son intégration en Suisse ne présente pas de particularités aptes à justifier la délivrance d’une autorisation de séjour. Il n'a pas de famille en Suisse et y est aujourd’hui totalement soutenu par l’hospice. Il ne fait pas mention d’une intégration particulière, qu’il s’agisse d’activités culturelles ou associatives, notamment au sein de la cité. L’absence de condamnation pénale peut être attendue de tout ressortissant sollicitant une autorisation de séjour. Son intégration professionnelle, en qualité de nettoyeur de bus à raison de quinze heures hebdomadaires jusqu’en 2020, ne répond pas aux critères, stricts, de la jurisprudence, pour pouvoir être qualifiée d’exceptionnelle. Il était dès lors conforme au droit, en procédant à une appréciation globale de l’ensemble de ces éléments, de considérer qu’il n’y avait pas de raisons personnelles majeures, au sens de l’art. 50 al. 1 let. b LEI, permettant de délivrer à l’intéressé une autorisation de séjour.</w:t>
      </w:r>
    </w:p>
    <w:p>
      <w:r>
        <w:rPr>
          <w:b/>
        </w:rPr>
        <w:t>E. 8</w:t>
      </w:r>
    </w:p>
    <w:p>
      <w:r>
        <w:t>Aux termes de l’art. 64 al. 1 let. c LEI, tout étranger dont l’autorisation est refusée, révoquée ou n’est pas prolongée après un séjour autorisé est renvoyé. La décision de renvoi est assortie d’un délai de départ raisonnable (art. 64d al. 1 LEI).![endif]&gt;![if&gt;</w:t>
      </w:r>
    </w:p>
    <w:p>
      <w:r>
        <w:rPr>
          <w:b/>
        </w:rPr>
        <w:t>E. 8.1</w:t>
      </w:r>
    </w:p>
    <w:p>
      <w:r>
        <w:t>Le renvoi d’un étranger ne peut toutefois être ordonné que si l’exécution de cette mesure est possible, licite ou peut être raisonnablement exigée (art. 83 al. 1 LEI).![endif]&gt;![if&gt;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8.2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w:t>
      </w:r>
    </w:p>
    <w:p>
      <w:r>
        <w:rPr>
          <w:b/>
        </w:rPr>
        <w:t>E. 8.3</w:t>
      </w:r>
    </w:p>
    <w:p>
      <w:r>
        <w:t>En l'espèce, les problèmes médicaux invoqués par la recourant peuvent être pris en charge dans son pays d’origine, qu’il s’agisse des problèmes tant somatiques que psychologiques. Le suivi psychiatrique et psychothérapeutique intégré (pharmacothérapie et psychothérapie) pourra lui être donné en Serbie, ce que le recourant ne semble pas contester. Les éventuelles crises d’hyperglycémie et hypoglycémie doivent pouvoir être prises en charge par des établissements locaux. Si certes la psychiatre du recourant évoque des périodes difficiles et de décompensation dépressive sévère avec des idées noires et suicidaires, il ne peut être retenu que ce risque soit suffisamment objectivé. Il n’est pas fait mention d’éventuelles tentatives antérieures ni des potentiels éléments déclencheurs. La praticienne avait par ailleurs insisté, dans son certificat du 30 mai 2022, sur l’importance pour son patient de pouvoir retourner rendre visite à sa famille en Serbie et détaillé les modalités de transport envisageables. Dans ces conditions, on ne peut retenir que son état de santé serait susceptible de se dégrader très rapidement en cas de retour en Serbie au point de conduire d'une manière certaine à la mise en danger concrète de sa vie ou à une atteinte sérieuse, durable, et notablement plus grave de son intégrité physique. ![endif]&gt;![if&gt; Au vu de ce qui précède, il ne ressort pas du dossier que l'exécution du renvoi du recourant serait impossible, illicite ou inexigible. Au vu de ce qui précède, l’OCPM n’a ni excédé ni abusé de son pouvoir d’appréciation en refusant, par décision du 7 juin 2022, de renouveler l’autorisation de séjour du recourant. C'est ainsi à juste titre que le TAPI l'a confirmée. Le recours sera rejeté.</w:t>
      </w:r>
    </w:p>
    <w:p>
      <w:r>
        <w:rPr>
          <w:b/>
        </w:rPr>
        <w:t>E. 9</w:t>
      </w:r>
    </w:p>
    <w:p>
      <w:r>
        <w:t>Vu l'issue du litige, un émolument de CHF 400.-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