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A/2235/2015 vom 12. April 2016</w:t>
      </w:r>
    </w:p>
    <w:p>
      <w:r>
        <w:t>GE Cour de justice, 2016-04-12, FR</w:t>
      </w:r>
    </w:p>
    <w:p>
      <w:r>
        <w:rPr>
          <w:b/>
        </w:rPr>
        <w:t xml:space="preserve">Quelle: </w:t>
      </w:r>
      <w:r>
        <w:t>https://mcp.opencaselaw.ch/entscheid/ge_gerichte_A_2235_2015</w:t>
      </w:r>
    </w:p>
    <w:p>
      <w:r>
        <w:t>FR: GE_GERICHTE A/2235/2015 du 12 avril 2016</w:t>
      </w:r>
    </w:p>
    <w:p>
      <w:r>
        <w:t>IT: GE_GERICHTE A/2235/2015 del 12 aprile 2016</w:t>
      </w:r>
    </w:p>
    <w:p>
      <w:pPr>
        <w:pStyle w:val="Heading2"/>
      </w:pPr>
      <w:r>
        <w:t>Erwägungen</w:t>
      </w:r>
    </w:p>
    <w:p>
      <w:r>
        <w:rPr>
          <w:b/>
        </w:rPr>
        <w:t>E. 2</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 er janvier 2012 (pour mémoire, les deux précédentes révisions de la LAI, des 21 mars 2003 [4ème révision] et 6 octobre 2006 [5ème révision] sont entrées en vigueur respectivement les 1 er janvier 2004 et 1 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 cf. aussi consid. 7c).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a. La décision attaquée est une décision de révision, pour l’avenir, de la décision par laquelle l’intimé avait, le 9 décembre 2004, reconnu la recourante invalide à 75 % et lui avait donc reconnu le droit à une rente entière d’invalidité, étant précisé que respectivement en 2007 et en 2010, l’intimé avait déjà initié deux procédures de révision de cette décision, au terme desquelles elle avait estimé qu’il n’y avait pas matière à la réviser. La recourante prétend que les conditions d’ouverture d’une nouvelle procédure de révision n’étaient pas remplies, d’une part, et que les conditions d’une révision ne le sont pas non plus, d’autre part. b. Les décisions de rente ou concernant d’autres prestations durables sont valables pour l’état de fait prévalant au moment où elles sont rendues. Une modification de cet état de fait doit pouvoir entraîner une adaptation de telles décisions. Selon l’art. 17 LPGA, si le taux d’invalidité du bénéficiaire de la rente subit une modification notable, la rente est, d’office ou sur demande, révisée pour l’avenir, à savoir augmentée ou réduite en conséquence, ou encore supprimée (al. 1) ; de même, toute prestation durable accordée en vertu d’une décision entrée en force est, d’office ou sur demande, augmentée ou réduite en conséquence, ou encore supprimée si les circonstances dont dépendait son octroi changent notablement (al. 2 ; Michel VALTERIO, Droit de l’assurance-vieillesse et survivants et de l’assurance-invalidité. Commentaire thématique, 2011, § 170, n. 3056 ; Ghislaine FRÉSARD-FELLAY, op. cit., n. 158 ss). L’art. 17 LPGA s’applique aussi dans le domaine de l’AI (art. 1 al. 1 LAI), sans préjudice de dispositions spécifiques, en l’occurrence non pertinentes (comme p. ex. l’art. 30 LAI sur l’extinction du droit à la rente d’invalidité dès que l’assuré peut prétendre la rente de vieillesse de l’assurance-vieillesse et survivants, ou l’art. 31 LAI sur la réduction ou suppression de la rente versée à un ayant droit percevant un nouveau revenu ou dont le revenu existant augmente si l’amélioration du revenu dépasse CHF 1'500.- par an). Il se trouve précisé, en matière d’AI, par les art. 86ter à 88bis du règlement sur l’assurance-invalidité du 17 janvier 1961 (RAI - RS 831.201), quant à la procédure à suivre (art. 88 RAI), aux motifs de révision (art. 87 RAI), ainsi qu’à la durabilité requise de la modification de l’état de fait (art. 88a RAI) et au dies a quo de la modification des prestations en découlant le cas échéant (art. 88bis RAI). c. L’adaptation de prestations durables, visée par l’art. 17 LPGA (qui la dénomme malencontreusement « révision »), se distingue de la révision procédurale et de la reconsidération, régie par l’art. 53 al. 1 et 2 LPGA, par le fait qu’elle intervient le cas échéant en considération d’une modification ultérieure de l’état de fait, alors que celles-ci sont décidées eu égard à des faits antérieurs découverts subséquemment ou à des moyens de preuve qui ne pouvaient être produits avant la prise de la décision entrée en force, respectivement à une application initiale manifestement erronée du droit ou d’une constatation des faits manifestement erronée résultant de l’appréciation des preuves (FRÉSARD-FELLAY, op. cit., n. 145 ss ; Ueli KIESER, ATSG Kommentar, 3 ème éd., 2015, n. 2 ss ad art. 17).</w:t>
      </w:r>
    </w:p>
    <w:p>
      <w:r>
        <w:rPr>
          <w:b/>
        </w:rPr>
        <w:t>E. 5</w:t>
      </w:r>
    </w:p>
    <w:p>
      <w:r>
        <w:t>a. Une procédure de révision (c’est-à-dire d’adaptation de prestations durables) peut intervenir d’office ou sur demande. Les organes de l’AI l’entament d’office lorsqu’en prévision de la possibilité d’une modification importante du taux d’invalidité, du degré d’impotence, ou encore du besoin de soins ou du besoin d’aide découlant de l’invalidité, un terme a été fixé au moment de l’octroi de la rente, de l’allocation pour impotent ou de la contribution d’assistance (art. 87 al. 1 let. a RAI), ou lorsqu’ils ont connaissance de faits ou ordonnent des mesures qui peuvent entraîner une modification importante du taux d’invalidité, du degré d’impotence ou encore du besoin de soins ou du besoin d’aide découlant de l’invalidité (art. 87 al. 1 let. b RAI). La fixation d’un terme de révision ne lie pas l’administration ; elle est une mesure d’ordre interne, quand bien même elle serait communiquée à l’assuré. Ainsi, elle ne garantit pas le versement des prestations jusqu’au terme le cas échéant indiqué, et elle n’oblige pas non plus l’administration à ouvrir une procédure de révision au terme indiqué. L’absence de fixation d’un terme n’empêche pas l’administration d’entamer une telle procédure lorsqu’elle pense que des motifs de révision sont susceptibles de s’être réalisés depuis que la décision a été rendue, d’après la perception qu’elle est légitimée, sans arbitraire et de bonne foi, à avoir à ce propos, eu égard à sa connaissance du dossier ou à des informations que l’assuré ou des tiers lui communiqueraient (Michel VALTERIO, op. cit., § 170 n. 3091 s. et 3090). b. En l’espèce, peu importe qu’aucun terme de révision n’ait été annoncé lors de la dernière révision, intervenue en 2010, ni même le cas échéant fixé, fût-ce sur un plan purement interne à l’intimé. Ce dernier n’était pas privé du droit d’entamer une nouvelle procédure de révision en mai 2012, soit deux ans seulement après sa précédente communication qu’il n’y avait pas matière, en juin 2010, de réviser la décision d’octroi d’une rente entière d’invalidité sur la base d’un degré d’invalidité de 75 %. La recourante ne se prévaut d’aucun motif ni ne démontre un quelconque fait ou une quelconque circonstance autorisant à considérer que l’intimé aurait versé dans l’arbitraire ou agi de façon contraire à une promesse donnée ou d’une autre façon contraire à la bonne foi en ouvrant, en mai 2012, une nouvelle procédure de révision. C’est une question de fond de savoir si les conditions d’une adaptation de prestations durables pour l’avenir sont remplies, en particulier s’il s’agit simplement de procéder à une nouvelle appréciation du cas. Le grief de violation des conditions d’ouverture d’une procédure de révision est mal fondé.</w:t>
      </w:r>
    </w:p>
    <w:p>
      <w:r>
        <w:rPr>
          <w:b/>
        </w:rPr>
        <w:t>E. 6</w:t>
      </w:r>
    </w:p>
    <w:p>
      <w:r>
        <w:t>a.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En revanche,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 la réglementation sur la révision ne saurait en effet constituer un fondement juridique à un réexamen sans condition du droit à la rente (arrêt du Tribunal fédéral des assurances I 406/05 du 13 juillet 2006 consid. 4.1 et les références). Le point de savoir si un changement notable des circonstances s’est produit doit être tranché en comparant les faits tels qu’ils se présentaient au moment de la décision initiale, respectivement de la dernière révision de la rente entrée en force, et les circonstances qui régnaient à l’époque de la décision litigieuse. C’est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 130 V 343 consid. 3.5.2).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6.1). En effet, s’il existe un motif de révision, l’administration doit selon la pratique actuelle du Tribunal fédéral examiner le droit à la rente sous tous ses aspects de fait et de droit sans être liée par les appréciations précédentes (ATF 141 V 9 consid. 2.3; 117 V 198 consid. 4b). Il n’est pas nécessaire que la modification de l’état de fait conduise déjà à une nouvelle fixation de la rente d’invalidité ; au contraire, il peut apparaître lors de l’examen approfondi qu’un autre élément du droit conduise à une augmentation, une réduction ou à une suppression de la rente d’invalidité (arrêt du Tribunal fédéral 8C_510/2014 consid. 4.2). Un changement de jurisprudence n’est pas un motif de révision au sens de l’art. 17 LPGA.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b. En l’espèce, les experts de la CRR et, à leur suite, l’intimé paraissent mettre en doute que le droit de la recourante à une rente d’invalidité a fait l’objet d’un examen attentif lors des deux précédentes procédures de révision, en 2007 et 2010. Selon le rapport d’expertise du 3 février 2015, il avait été reconduit sur la base de rapports psychiatriques succincts, sans qu’aucun élément nouveau ne ressorte des rapports sur le plan somatique. En 2007, l’intimé s’est contenté de solliciter un rapport médical du médecin traitant de la recourante, la Dresse C______, qui est médecin généraliste (et non rhumatologue), et de la psychiatre des HUG qui suivait la recourante, la Dresse  P______. Il n’a pas exigé d’autres rapports ni ordonné d’expertise, quand bien même, dans son rapport du 24 février 2007, ladite généraliste indiquait que l’état de santé de la recourante s’était aggravé mais ne citait plus la fibromyalgie au nombre des diagnostics qu’elle mentionnait, et préconisait un examen médical complémentaire, tandis que la psychiatre, dans son rapport du 1 er mars 2007, disait l’état de santé de la recourante stationnaire et énumérait des diagnostics (dont la fibromyalgie) dans une perspective paraissant davantage historique que fondée sur une appréciation actualisée de la situation (même si, il est vrai, elle avait vu la recourante le jour même de l’établissement de son rapport). En 2010, l’intimé a recueilli les avis du nouveau médecin traitant de la recourante, la Dresse Q______, elle aussi généraliste, et à nouveau de la psychiatre Dresse P______. La Dresse Q______ lui avait simplement indiqué, le 17 juin 2010, que l’incapacité de travail (« l’inaptitude AI ») de la recourante avait été « posée par un rhumatologue pour une fibromyalgie, et non par (elle) », ajoutant qu’elle ne suivait pas la recourante pour ce problème de santé et ne pouvait pas se prononcer sur ce sujet. La Dresse P______ a indiqué succinctement, le 23 juin 2010, que l’état de santé de la recourante était stationnaire et qu’il n’y avait pas de changement dans les diagnostics (dont celui de fibromyalgie). Compte tenu du caractère relativement sommaire de l’examen matériel du cas de la recourante qui est intervenu en 2007 et 2010, il y aurait de quoi s’interroger sur le point de savoir si, pour déterminer si un changement notable des circonstances s’est produit, l’état de fait prévalant lors de la troisième procédure de révision doit être comparé à celui qui se présentait au moment de la décision initiale, en 2004, ou lors des deux précédentes procédure de révision, en 2007 et en 2010. Cette question peut cependant rester ouverte, dès lors qu’à la suite des experts de la CRR (faute de données suffisantes sur l’anamnèse et la description du status de la recourante pour la période antérieure), l’intimé n’a pas situé l’amélioration sensible de l’état de santé de la recourante à une date antérieure à celle de l’expertise de la CRR. Autrement dit, le bien-fondé des communications des 6 mars 2007 et 28 juin 2010, maintenant le degré d’invalidité de la recourante à 75 %, n’est pas remis ni à remettre en question. c. Le caractère succinct de l’examen matériel du cas de la recourante en 2007 et en 2010 constituait en revanche un motif suffisant de ne pas attendre les trois ans habituels avant d’entamer une nouvelle procédure de révision, dont l’objectif n’était pas – contrairement à ce que prétend la recourante – d’obtenir, de façon préconçue, une nouvelle appréciation de son cas en l’absence de modification sensible de son état de santé ou de sa capacité de travail et de gain. Même s’il n’a alors pas requis l’avis de la psychiatre de la recourante, l’intimé ne pouvait qu’être conforté dans sa perception de la nécessité de soumettre cette dernière à une expertise pluridisciplinaire, dès lors que, dans son rapport du 15 août 2012, la généraliste la traitant n’a mentionné les cervico-dorso-lombalgies (plus précisément une hernie discale L5-S1 gauche) plus que comme diagnostic sans effet sur la capacité de travail, et qu’elle émettait un pronostic « bon si repos ». Il n’en faut pas moins déterminer si le rapport d’expertise du 3 février 2015 des médecins de la CRR permettait à l’intimé de retenir que la recourante avait recouvré une pleine capacité de travail dans toute activité dès janvier 2015 et, en conséquence, qu’elle n’était plus invalide et n’avait donc plus droit à une rente d’invalidité.</w:t>
      </w:r>
    </w:p>
    <w:p>
      <w:r>
        <w:rPr>
          <w:b/>
        </w:rPr>
        <w:t>E. 7</w:t>
      </w:r>
    </w:p>
    <w:p>
      <w:r>
        <w:t>a.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b.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 c. Sans remettre en cause la liberté d’appréciation revenant à l’administration et, sur recours, au juge (art. 61 let. c in fine LPGA ; art. 20 al. 1 phr. 2 LPA), le Tribunal fédéral a établi des règles sur la portée probatoire des divers types de rapports médicaux. c/aa.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c/bb.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et ils ne sont pas dépourvus de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(arrêts du Tribunal fédéral 9C_274/2015 du 4 janvier 2016 consid. 4.1.2 ; 9C_518/2007 du 14 juillet 2008 consid. 3.2 et les références citées). On ne peut cependant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 sur les informations versées au dossier (arrêts du Tribunal fédéral 9C_310/2015 du 15 janvier 2016 consid. 6.2 ; 9C_25/2015 du 1er mai 2015 consid. 4.1 ; 9C_578/2009 du 29 décembre 2009 consid. 3.2 in fine).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c/cc. En cas de divergence d’opinion entre experts et médecins traitants, il n’est, de manière générale, pas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9C_615/2015 du 12 janvier 2016 consid. 6.2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De même,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8</w:t>
      </w:r>
    </w:p>
    <w:p>
      <w:r>
        <w:t>a. En l’espèce, le rapport d’expertise du 3 février 2015 de la CRR émane de quatre médecins spécialistes respectivement en médecine interne générale, en neurologie, en psychiatrie et psychothérapie et en rhumatologie, soit dans quatre disciplines médicales dont il n’est pas contestable ni contesté qu’elles sont celles qui doivent permettre d’appréhender l’entier de la situation de la recourante. Cette dernière n’a fait valoir aucun motif de récuser lesdits experts, et elle n’a pas proposé de questions à leur poser en complément à celles de l’intimé. b. D’un point de vue formel, ledit rapport apparaît complet, en tant que, de façon détaillée, il comporte un résumé du dossier de la recourante, relate les données fournies par cette dernière, énonce les données objectives, pose les diagnostics, fait une appréciation de son cas et répond aux questions du mandat d’expertise. c. La chambre de céans relève qu’au chapitre de l’appréciation du cas, les experts apparaissent avoir quelque peu escamoté les faits, en indiquant qu’après avoir changé d’activité du fait d’un eczéma de contact, la recourante avait pu, après trois ans d’interruption de son activité de coiffeuse, reprendre l’activité de vendeuse de parfumerie en pharmacie, qu’elle avait interrompue après une année, en 1998, pour ne plus jamais exercer d’activité professionnelle, ainsi qu’en retenant que son incapacité de travail avait à l’époque été attestée sur la seule base de plaintes douloureuses, « rapidement étiquetées fibromyalgie par son rhumatologue et son médecin traitant », dans le contexte d’une existence personnelle difficile, et que le droit à la rente avait été admis sur la base d’un degré d’invalidité de 75 % à la suite d’une expertise réalisée en 2003, contestée par le médecin de l’AI, alors qu’une dégradation transitoire de l’humeur mais aussi une perspective d’amélioration étaient évoquées. La réalité était qu’après avoir été en incapacité totale de travailler du 25 mars au 23 août 1998, la recourante avait repris son activité de vendeuse en parfumerie à la Pharmacie F______ à 50 % dès le 24 août 1998 et qu’elle y avait travaillé en cette qualité jusqu’au 9 février 2000. Le fait qu’elle ait exercé son activité professionnelle à temps partiel durant un an et demi de plus que ne l’ont indiqué les experts ne constitue cependant pas un argument susceptible en lui-même de remettre leurs conclusions en cause. Il faut toutefois rétablir l’exactitude des faits également en rappelant qu’en 1998 l’incapacité (totale ou partielle) de travail de la recourante était attestée par le médecin traitant de cette dernière, la Dresse C______, sur la base, cumulativement, de plusieurs diagnostics dont rien n’autorise à retenir qu’ils étaient posés uniquement au vu des plaintes de la recourante, à savoir des cervico-dorso-lombalgies aiguës sur troubles statiques et dégénératifs de la colonne cervico-dorso-lombaire et sur tassement au niveau D7, des lombalgies aiguës sur probable instabilité lombaire – spondylolyse bilatérale au niveau L5, provoquant un antélisthésis de L5 sur S1 degré I, une fibromyalgie, un état anxio-dépressif chronique, des malaises sur hypotension orthostatique et sur hypoglycémie, des céphalées chroniques sur sinusite maxillaire, une suspicion de TVP du MID, un kyste ovarien gauche, des épigastralgies sur gastrite aiguë, et un eczéma d’origine atopique au niveau des mains. Quant au rhumatologue s’étant exprimé notamment sur ce point, en 2000, il a attesté que la recourante souffrait alors notamment d’un syndrome douloureux chronique correspondant aux critères de la fibromyalgie, diagnostic qu’a aussi retenu l’experte psychiatre I______, dans son rapport du 7 février 2003, de même que ladite experte psychiatre et le Dr K______, 1 er chef de clinique au département de psychiatrie des HUG, dans leur rapport co-signé du 16 juin 2003 (étant au demeurant précisé que la contestation que le médecin de l’AI avait émise à propos du rapport précité du 7 février 2003 n’avait tenu qu’au fait que ce rapport ne comportait que la signature de la Dresse I______ et quelques défauts de présentation). d. Par ailleurs, il est vrai que ni les experts de la CRR, ni l’intimé n’ont expliqué, respectivement dans le rapport d’expertise de synthèse du 3 février 2015 et ses écritures dans la présente cause, pourquoi ledit rapport de synthèse indiquait que le diagnostic de fibromyalgie n’était soutenu que par « la présence de quelques points de fibromyalgie », alors que l’experte rhumatologue W______ retenait dans son propre rapport du 15 janvier 2015 accompagnant ledit rapport de synthèse, que la recourante remplissait « tant les anciens que les nouveaux critères ACR de la fibromyalgie » et que, dans son cas, on « retrouv(ait) ainsi de nombreux points de fibromyalgie ». Il faut cependant relever qu’en matière de fibromyalgie, le rhumatologue a pour mission d’établir s’il y a un substrat aux douleurs dont l’assuré se plaint, autre que les réactions attestant de douleurs à la palpation, mais qu’ensuite, en l’absence d’un tel substrat (qui, précisément, justifie l’assimilation de la fibromyalgie aux troubles somatoformes douloureux [ATF 132 V 65 consid. 3 et 4.1]) mais en présence de telles douleurs, il revient au psychiatre de déterminer si et dans quelle mesure ce syndrome peut être surmonté par un effort de volonté raisonnablement exigible. Le défaut d’explication précité ne suffit dès lors pas à dénier toute force probante au rapport d’expertise de la CRR, d’autant plus que – comme cela sera repris plus loin – l’expert psychiatre, le Dr V______, et avec lui les autres experts dans leur rapport de synthèse, ont posé le diagnostic de trouble douloureux somatoforme persistant, lui déniant en revanche une répercussion sur la capacité de travail de la recourante. Force est toutefois de dire que ce défaut d’explication, sinon cette contradiction entre le rapport d’expertise rhumatologique et le rapport de synthèse, affaiblit un peu la force probante dudit rapport d’expertise de synthèse et, partant, les conclusions de ce rapport, en tant qu’elle constitue un indice de sous-estimation de l’intensité du trouble considéré. e. Il ne s’ensuit pas qu’une amélioration de l’état de santé de la recourante, du moins à partir de janvier 2015, soit en contradiction avec les pièces du dossier. En effet, l’experte psychiatre I______ précisait déjà, dans son rapport du 7 février 2003, qu’on pouvait s’attendre à une rémission partielle des symptômes liés à la fibromyalgie. Le 17 juin 2010, la généraliste traitante de la recourante, la Dresse Q______, avait précisé ne pas suivre cette dernière pour une fibromyalgie, dont le diagnostic avait été posé en 2000 par un rhumatologue (le Dr G______), et le 15 août 2012, tout en posant (ou plutôt rappelant) notamment le diagnostic incapacitant de fibromyalgie, elle n’attribuait plus d’effet sur la capacité de travail à celui de hernie discale L5-S1 et qualifiait le pronostic de « bon si repos ». De plus, selon l’attestation du 16 juin 2015 de ladite généraliste, la recourante se portait assez bien sur le plan somatique, ses crises de fibromyalgie étaient peu fréquentes, et sa capacité de travail était limitée (dans une mesure à redéfinir avec son psychiatre). D’après ce qu’a écrit la psychiatre traitante de la recourante, la Dresse P______, dans son rapport du 17 juin 2015, l’évolution de l’état de santé de la recourante avait été en dents de scie jusque vers 2010, puis avait été plus stable, même si la symptomatologie anxieuse et douloureuse restait en évidence et de niveau important. Une amélioration de l’état de santé de la recourante et, partant, possiblement de sa capacité de travail et de gain apparaît indéniable. f. Il y a divergence entre les experts et les deux médecins traitants précités de la recourante sur la diminution de la capacité de travail de cette dernière. Les experts estiment la recourante pleinement capable de travailler dans l’activité antérieure de vendeuse de produits cosmétiques, ainsi que – sauf à respecter ses limitations fonctionnelles – dans un autre secteur de vente, voire toute autre activité. Ils n’en reconnaissent pas moins que la recourante est atteinte dans sa santé, puisqu’ils posent les diagnostics, sans répercussion sur la capacité de travail, de lombalgies chroniques non spécifiques (M54.5) avec spondylolyse de L5 bilatérale (M43.06), de syndrome douloureux somatoforme persistant (F45.4), de dysthymie (F43.1), d’éperon calcanéen à droite (M77.3), de hallux rigidus bilatéral (M20.2), de céphalées de tension épisodiques (G44.2) et de migraines sans aura (G43.9). De leur côté, la Dresse Q______ apparaît reconnaître une capacité de travail partielle à la recourante, et la Dresse P______ voit en l’état et à vue humaine dans son trouble anxieux et dépressif mixte et sa fibromyalgie un obstacle infranchissable à une reprise du travail, même à temps partiel. Ces divergences pourraient être écartées sans grande hésitation, au profit de l’appréciation des experts, par référence à la valeur de principe d’une expertise par rapport aux avis médicaux ou rapports de médecins traitants, si – conditions à considérer cumulativement – le rapport d’expertise de synthèse précité, nonobstant son caractère par ailleurs complet, n’était pas affecté du défaut d’explication précité, voire de la contradiction précitée quant à l’intensité de la fibromyalgie de la recourante – sujet qui représente un point litigieux important dans la présente cause –, s’il était plus détaillé sur les interférences médicales entre les atteintes à la santé admises – tout de même nombreuses –, si les limitations fonctionnelles reconnues à la recourante (à savoir n’avoir pas à porter des charges supérieures à 5 kg ni à faire des mouvements du tronc en porte-à-faux) n’étaient pas concrètement moins anodines que leur seule énumération ne le laisse penser, si la frontière entre des atteintes à la santé incapacitantes et celles qui ne le sont pas n’était pas ténue dans un tel complexe d’atteintes à la santé, et s’il n’était pas étonnant qu’un assuré pût passer en un si bref délai (ici, en janvier 2015) d’une totale incapacité de travail à une pleine capacité de travail. g. La question peut en l’occurrence rester ouverte de savoir si ces circonstances amoindrissant la force probante dudit rapport d’expertise – et auxquelles peut s’ajouter la question de l’inopportunité, sinon de la carence d’avoir rendu ce rapport d’expertise sans disposer d’examens radiologiques récents – suffisent à justifier un complément d’expertise, sinon à en écarter les conclusions.</w:t>
      </w:r>
    </w:p>
    <w:p>
      <w:r>
        <w:rPr>
          <w:b/>
        </w:rPr>
        <w:t>E. 9</w:t>
      </w:r>
    </w:p>
    <w:p>
      <w:r>
        <w:t>a. Ainsi qu’ils y avaient été logiquement invités par l’intimé (conformément à la jurisprudence prévalant encore lorsqu’ils ont reçu le mandat d’expertise, et même lorsqu’ils ont rendu leur rapport), les experts ont évalué le caractère invalidant ou non du trouble somatoforme douloureux reconnu à la recourante au regard de critères qui ont été modifiés ou dont l’importance respective a été modifiée dans l’intervalle par le Tribunal fédéral, à savoir la présence d’une comorbidité psychiatrique importante par sa gravité, son acuité et sa durée, l’existence d’un processus maladif s’étendant sur plusieurs années sans rémission durable ou d’affections corporelles chroniques, une perte d’intégration sociale dans toutes les manifestations de la vie, l’échec de traitements ambulatoires ou stationnaires conformes aux règles de l’art en dépit de l’attitude coopérative de l’assurée, l’existence – en cas de comorbidité psychiatrique – d’un état psychique cristallisé résultant d’un processus défectueux de résolution des conflits mais apportant un soulagement du point de vue psychique. Les experts ont en effet estimé qu’au vu des plaintes douloureuses chroniques de la recourante, associées à quelques signes évocateurs de fibromyalgie (ayant possiblement été sous-estimés quant à leur nombre et leur intensité, sied-il de rappeler), il se justifiait de retenir un trouble somatoforme douloureux, mais ils ont aussitôt ajouté, au demeurant sans motiver leur appréciation de façon approfondie sur ce point important, que ce trouble ne réunissait pas l’ensemble des critères de gravité et ne s’accompagnait pas d’une comorbidité psychiatrique incapacitante, si bien qu’il ne pouvait être reconnu comme incapacitant. Ils se sont manifestement appuyés sur la présomption d’absence, en règle générale, d’effet incapacitant d’un tel trouble. b. Or, selon la nouvelle jurisprudence du Tribunal fédéral (ATF 141 V 281 ), il n’y a plus de présomption selon laquelle les syndromes du type troubles somatoformes douloureux et affections psychosomatiques assimilées peuvent être surmontés en règle générale par un effort de volonté raisonnablement exigible (ATF 132 V 65 ; 131 V 49 ;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b/aa.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b/bb.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 c. Contrairement à l’avis de l’intimé sur ce point, la nouvelle jurisprudence sur les troubles somatoformes et affections psychosomatiques assimilées est applicable au cas d’espèce, dès lors que la décision de l’intimé n’a pas acquis force de chose décidée, nonobstant le retrait de l’effet suspensif dont l’intimé l’a assortie. Sans doute un changement de jurisprudence n’est-il un motif ni de révision, ni de reconsidération et ne déploie, en règle ordinaire, des effets que pour l’avenir (ATF 141 V 39 consid. 5 ; 119 V 413 consid. 3a et les références). Il ne s’agit toutefois pas ici de réviser ou reconsidérer une décision entrée en force, mais d’appliquer la nouvelle jurisprudence à un cas non tranché définitivement du fait qu’un recours a été interjeté en temps utile contre la décision rendue. d. En l’espèce, le caractère non invalidant du trouble somatoforme douloureux de la recourante a été davantage affirmé que démontré dans le cadre d’une approche englobant toutes les affections dont elle souffre, intégrant une analyse de sa personnalité et évaluant ses ressources et ses possibilités de les mettre à profit. L’importance accordée à une absence de comorbidité psychiatrique incapacitante ne s’accorde pas avec les exigences de la nouvelle jurisprudence, au regard de laquelle il s’impose par ailleurs d’effectuer une appréciation plus développée de la mesure dans laquelle la recourante a mis à profit ou négligé les traitements lui ayant été prescrits et le cas échéant des raisons d’un refus ou d’une mauvaise acceptation de tels traitements. Il s’impose que les experts ayant rendu les expertises ayant servi de base à la prise de la décision attaquée soient invités à compléter leur appréciation au regard des indicateurs établis par le Tribunal fédéral, de même que, préalablement, leurs investigations dans la mesure utile, en remédiant aux facteurs identifiés ci-dessus comme affaiblissant la valeur probante de leur rapport d’expertise de synthèse (cf. consid. 8f). e. Un renvoi de la cause à l’autorité décisionnaire pour mise en œuvre d’un complément d’expertise est possible, voire nécessaire, lorsqu’il s’agit de préciser un point de l’expertise administrative ou de demander un complément à l’expert, et ce même depuis que le Tribunal fédéral a restreint le choix du juge de ne pas diligenter lui-même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 ATAS/204/2016 du 15 mars 2016 consid. 3b). Il sied en outre de préciser qu’il n’y a pas de motif de considérer que les experts de la CRR ayant rendu le rapport d’expertise sur lequel s’est fondé l’intimé pour rendre la décision attaquée ne puissent être appelés à compléter leurs investigations et leur appréciation de ce cas, dans lequel ils n’ont pas manifesté de prévention à l’endroit de la recourante. L’intimé reste néanmoins libre de requérir ces compléments de la part d’autres experts s’il l’estime plus opportun. Il n’y a pas lieu non plus d’attendre, pour que les compléments requis soient recueillis et une nouvelle décision rendue, que les sociétés médicales de discipline aient établi ou adapté leurs directives à la suite de l’arrêt de principe précité du Tribunal fédéral sur les troubles somatoformes douloureux et affections psychosomatiques assimilées. f. La décision attaquée sera donc annulée et la cause renvoyée à l’intimé pour instruction complémentaire au sens des considérants, puis nouvelle décision.</w:t>
      </w:r>
    </w:p>
    <w:p>
      <w:r>
        <w:rPr>
          <w:b/>
        </w:rPr>
        <w:t>E. 10</w:t>
      </w:r>
    </w:p>
    <w:p>
      <w:r>
        <w:t>a. La procédure n'étant pas gratuite, en dérogation à l’art. 61 let. a LPGA (art. 69 al. 1bis phr. 1 LAI), il y a lieu de condamner l’intimé au paiement d'un émolument, arrêté en l’espèce à CHF 200.- (art. 69 al. 1bis phr. 2 in fine LAI). b. La recourante obtenant gain de cause, une indemnité doit lui être accordée à titre de participation à ses frais et dépens (art. 61 let. g LPGA ; art. 6 du règlement sur les frais, émoluments et indemnités en matière administrative du 30 juillet 1986 [RFPA - E 5 10.03]), indemnité qui sera arrêtée à CHF 2'000.-.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