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A/2228/2013 vom 5. November 2013</w:t>
      </w:r>
    </w:p>
    <w:p>
      <w:r>
        <w:t>GE Cour de justice, 2013-11-05, FR</w:t>
      </w:r>
    </w:p>
    <w:p>
      <w:r>
        <w:rPr>
          <w:b/>
        </w:rPr>
        <w:t xml:space="preserve">Quelle: </w:t>
      </w:r>
      <w:r>
        <w:t>https://mcp.opencaselaw.ch/entscheid/ge_gerichte_A_2228_2013</w:t>
      </w:r>
    </w:p>
    <w:p>
      <w:r>
        <w:t>FR: GE_GERICHTE A/2228/2013 du 5 novembre 2013</w:t>
      </w:r>
    </w:p>
    <w:p>
      <w:r>
        <w:t>IT: GE_GERICHTE A/2228/2013 del 5 novembre 2013</w:t>
      </w:r>
    </w:p>
    <w:p>
      <w:pPr>
        <w:pStyle w:val="Heading2"/>
      </w:pPr>
      <w:r>
        <w:t>Erwägungen</w:t>
      </w:r>
    </w:p>
    <w:p>
      <w:r>
        <w:rPr>
          <w:b/>
        </w:rPr>
        <w:t>E. 1</w:t>
      </w:r>
    </w:p>
    <w:p>
      <w:r>
        <w:t>Les prestations indûment touchées doivent être restituées. La restitution ne peut être exigée lorsque l'intéressé était de bonne foi et qu'elle le mettrait dans une situation difficile.</w:t>
      </w:r>
    </w:p>
    <w:p>
      <w:r>
        <w:rPr>
          <w:b/>
        </w:rPr>
        <w:t>E. 2</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3</w:t>
      </w:r>
    </w:p>
    <w:p>
      <w:r>
        <w:t>Sont en outre reconnus comme dépenses, pour toutes les personnes: a.    les frais d'obtention du revenu, jusqu'à concurrence du revenu brut de l'activité lucrative; »![endif]&gt;![if&gt; Les revenus déterminants comprennent, selon l’art. 11 al. 1 LPC,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 9.        En l’espèce, le SPC, tenant compte d’un revenu déterminant de 62'497 fr. 40 et de dépenses reconnues pour 46'230 fr., a considéré que la condition de la situation financière difficile n’était pas réalisée. ![endif]&gt;![if&gt; 10.    L’intéressée reproche au SPC d’avoir déterminé sa situation à la lumière des critères de la LPC.![endif]&gt;![if&gt; C’est pourtant à juste titre que le SPC a appliqué les art. 10 et 11 LPC. Le texte clair de l’art. 5 OPGA oblige en effet à s’y référer. L’intéressée soutient que le SPC a violé le principe de la proportionnalité en réclamant la restitution d’une prestation indûment touchée à un héritier. Or, l’art. 2 OPGA prévoit que les héritiers peuvent se voir réclamer le remboursement des prestations versées à tort au défunt, d’une part, et l’art. 5 OPGA ne prévoit pas de distinction entre le bénéficiaire lui-même ou l’héritier pour la détermination de la situation financière, d’autre part. On ne saurait dès lors considérer que le principe de proportionnalité ait été violé. L’intéressée allègue qu’il devrait être tenu compte des besoins vitaux pour enfant, de l’assurance-maladie pour jeune adulte, d’un supplément pour enfant et des frais de transport pour elle-même, dans le cadre des dépenses reconnues. Il y a toutefois lieu de relever que son fils est majeur et que dès lors les frais le concernant ne peuvent être retenus. En revanche, les frais de transport, considérés comme des frais d’obtention du revenu, auraient dû être pris en considération (art. 10 al. 3 let. a LPC). Les ajouter au montant des dépenses reconnues ne suffit cependant pas à modifier l’issue du présent recours. Force est de conclure, au vu de ce qui précède, que les revenus déterminants dépassent sensiblement les dépenses reconnues, de sorte que la condition financière de la remise n’est pas réalisée. Aussi le recours ne peut-il être que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