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A/2227/2022 vom 20. Juni 2023</w:t>
      </w:r>
    </w:p>
    <w:p>
      <w:r>
        <w:t>GE Cour de justice, 2023-06-20, FR</w:t>
      </w:r>
    </w:p>
    <w:p>
      <w:r>
        <w:rPr>
          <w:b/>
        </w:rPr>
        <w:t xml:space="preserve">Quelle: </w:t>
      </w:r>
      <w:r>
        <w:t>https://mcp.opencaselaw.ch/entscheid/ge_gerichte_A_2227_2022</w:t>
      </w:r>
    </w:p>
    <w:p>
      <w:r>
        <w:t>FR: GE_GERICHTE A/2227/2022 du 20 juin 2023</w:t>
      </w:r>
    </w:p>
    <w:p>
      <w:r>
        <w:t>IT: GE_GERICHTE A/2227/2022 del 20 giugno 2023</w:t>
      </w:r>
    </w:p>
    <w:p>
      <w:pPr>
        <w:pStyle w:val="Heading2"/>
      </w:pPr>
      <w:r>
        <w:t>Erwägungen</w:t>
      </w:r>
    </w:p>
    <w:p>
      <w:r>
        <w:rPr>
          <w:b/>
        </w:rPr>
        <w:t>E. 2</w:t>
      </w:r>
    </w:p>
    <w:p>
      <w:r>
        <w:t>L’intimé remet en cause la qualité de mandataire professionnellement qualifié d’D______ et de E______.![endif]&gt;![if&gt;</w:t>
      </w:r>
    </w:p>
    <w:p>
      <w:r>
        <w:rPr>
          <w:b/>
        </w:rPr>
        <w:t>E. 2.1</w:t>
      </w:r>
    </w:p>
    <w:p>
      <w:r>
        <w:t>Les parties, à moins qu’elles ne doivent agir personnellement ou que l’urgence ne le permette pas, peuvent se faire représenter par un conjoint, un ascendant ou un descendant majeur, respectivement par un avocat ou par un MPQ pour la cause dont il s’agit (art. 9 al. 1 LPA), étant précisé que ce dernier intervient nécessairement comme défenseur de choix et ne peut être nommé d'office (arrêt du Tribunal fédéral 2C_835/2014 du 22 janvier 2015).![endif]&gt;![if&gt; Par cette disposition, le législateur cantonal a manifesté son intention de ne pas réserver le monopole de représentation aux avocats en matière administrative, dans la mesure où un nombre important de recours exige moins de connaissances juridiques que de qualifications techniques (MGC 1968 p. 3027 ; arrêt du Tribunal fédéral 1P.416/2004 du 28 septembre 2004 consid. 2.2).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tant contentieuses que non contentieuses ( ATA/777/2019 du 16 avril 2019 consid. 2a ; ATA/65/2019 du 22 janvier 2019 ; ATA/729/2018 du 10 juillet 2018). 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 ATA/729/2018 précité). Pour recevoir cette qualification, le mandataire doit disposer de connaissances suffisantes dans le domaine du droit dans lequel il prétend être à même de représenter une partie ( ATA/729/2018 précité). Comme l'a en effet jugé le Tribunal fédéral, les personnes, même juristes, qui ne bénéficient ainsi pas de la présomption de fait reconnue par la loi aux avocats quant à leur aptitude à représenter efficacement les intérêts des parties dans les procédures administratives doivent, pour se voir reconnaître la qualité de MPQ, faire état de solides connaissances dans le domaine considéré, en démontrant par exemple avoir suivi une formation particulière dans ce domaine ou avoir déjà soutenu des recours portant sur une problématique analogue. De plus, la qualité de MPQ ne doit pas être examinée selon la qualité intrinsèque du recours, mais d'après les connaissances dont son auteur peut se prévaloir dans le domaine considéré (arrêt du Tribunal fédéral 1P.416/2004 précité consid. 2.3). Le but de l’art. 9 LPA s’oppose à l’admission comme MPQ de tous les conseillers juridiques indépendants. En effet,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MPQ ne doit ainsi être donnée qu’à des personnes dont il est évident, aux yeux des administrés, qu’elles ne sont compétentes que dans le domaine du droit dont il s’agit, mais qu’elles n’ont pas les pouvoirs de représentation d’un avocat ( ATA/53/2015 du 13 janvier 2015 consid. 2c ; ATA/108/2010 du 16 février 2010). La chambre de céans a nié la qualité de MPQ devant le service de la main-d'œuvre étrangère à un justiciable titulaire d’un diplôme supérieur de commerce et indiquant dans son curriculum vitae être expert fiscal, gestionnaire financier et administrateur de sociétés et agir devant l’OCIRT depuis trente-cinq ans mais sans le prouver. La même qualité a été niée à son fils qui, titulaire d’un master en droit international, n’avait pas prouvé qu’il possédait des compétences particulières. Le fait qu'il avait suivi des enseignements en relations internationales ou en droit humanitaire, ou encore qu'il avait fondé une organisation non gouvernementale active internationalement dans le domaine des droits fondamentaux, ne pouvait suppléer l'absence de formation ou d'expérience particulière en matière de droit suisse des étrangers ( ATA/149/2021 du 9 février 2021 consid. 6).</w:t>
      </w:r>
    </w:p>
    <w:p>
      <w:r>
        <w:rPr>
          <w:b/>
        </w:rPr>
        <w:t>E. 2.2</w:t>
      </w:r>
    </w:p>
    <w:p>
      <w:r>
        <w:t>En l’espèce, l’OCIRT indique avoir nié la qualité de MPQ à D______ et produit un courrier du 16 janvier 2023 dans une autre procédure reprochant à celui-ci de ne pas avoir fourni les preuves de sa compétence dans le délai imparti.![endif]&gt;![if&gt; Dans la réplique du recourant dans la présente procédure, D______ indique être licencié en droit international, chercheur en droit international comparé à l’université d’Urbino et doctorant. Il n’indique pas ni ne documente quelle université lui aurait délivré sa licence en droit international. Cela étant, la titularité d’une licence en droit ne constitue pas une preuve de compétence dans le domaine spécifique du droit des étrangers. Un doctorat sur le droit au mariage des migrants en séjour irrégulier en Suisse au regard de la Convention européenne des droits de l’homme se rapproche déjà plus du domaine de compétence examiné. Le recourant n’apparait cependant pas dans la liste des chercheurs l’université d’Urbino accessible en ligne et consultée le 9 juin 2023 (https://www.uniurb.it/ateneo /persone-e-strutture/persone/ricercatori). F______, qu’il qualifie de professeure, et qui dirigerait sa thèse, apparait quant à elle en qualité de « conseillère juridique, droit italien » sur le site de l’ISDC consulté en ligne le 9 juin 2023 (https://www.isdc.ch/fr/isdc/equipe). E______ se présente sur son site internet (https://www.migrant-arcenciel.ch/a-propos) comme « un cabinet de consultation et d’assistance juridique pour étrangers [ ] sous forme d'une association [ ] indépendante, apolitique et non confessionnelle, entre logique caritative et zèle humanitaire [ayant pour but] l’intégration des étrangers par le conseil et l’assistance juridique ainsi que toutes les activités connexes autorisées par le droit positif suisse ou du pays d’activité. Cette fonction de mandataires est prévue par la loi et supplée aux services d’avocats dont, faute de moyens financiers ou de confiance (pour l'assistance gratuite-publique), les requérants ne peuvent bénéficier ou se fier [et qui] traite de l'entrée, de la présence et du séjour des ressortissants étrangers en Suisse : le régime ordinaire, le régime spécial des Accords sur la libre circulation des personnes (ALCP), le régime spécial de l'asile ainsi que le régime de la nationalité des ressortissants étrangers [et] intervient de temps en temps dans d'autres branches du droit, pour autant qu'elles aient un lien avec le statut d'étranger. [Elle] aborde et satisfait en plusieurs langues les questions concernant la procédure d’asile (conseils, orientations, rédaction des recours pour les requérants confrontés à un refus d'asile, une non-entrée en matière ou des mesures de contraintes), l’assistance juridique aux mineurs non accompagnés, la préparation des audiences et si nécessaire, notre présence lors de ces audiences, les correspondances avec l’administration de l’asile ou de la migration (présentation des pièces justificatives, prise de position, etc.), la traduction et l’interprétation des décisions administratives et judiciaires, le conseil à l’aide au retour ». D______ et l’ASSOCIATION E______ apparaissent comme mandataires dans une procédure d’asile s’étant conclue devant le Tribunal administratif fédéral (ci-après : TAF) par un arrêt E-4309/2021 du 19 octobre 2021 déclarant le recours manifestement infondé et observant que son auteur se livrait « à une vague contestation, à peine discernable » de l’appréciation de l’autorité. Un autre recours qu’ils ont rédigé contre un refus de réexamen d’une demande d’asile a été rejeté par arrêt E-4240/2022 du 15 novembre 2022, dans lequel le TAF a relevé qu'au regard de l'historique procédural, s'agissant en l'occurrence de la quatrième demande déposée en procédure extraordinaire et de la troisième demande de réexamen, ainsi qu'en raison de l'absence de contestation valable dans le recours – le recourant ayant présenté une écriture « particulièrement indigente » et « grossièrement dénuée de chances de succès » – l'acte relevait à l'évidence d'un comportement téméraire du mandataire de l'intéressé et que celui-ci, spécialiste du droit de l'asile et rompu aux procédures devant le TAF, ne pouvait ignorer de bonne foi le caractère téméraire et vain, frôlant le caractère abusif, de la démarche initiée pour son mandant. Ils ont enfin rédigé un recours contre une demande de réexamen en matière d’asile, rejeté par arrêt du TAF D-411/2023 du 8 mars 2023 et considéré comme sommairement motivé, infondé, présentant de manière répétée les mêmes motivations, dépourvu de moyen de preuve, et téméraire. D______ et n’apparaissent dans aucune procédure devant le Tribunal fédéral ni dans aucune autre procédure devant le TAPI et devant la chambre de céans. Compte tenu des éléments qui précèdent et faute pour D______ et l’ASSOCIATION E______ de justifier de leurs compétences en matière de droit des étrangers, leur qualité de MPQ, et partant de la recevabilité du recours, est douteuse. Celle-ci pourra toutefois demeurer sans réponse en l’espèce, le recours devant quoi qu’il en soit être rejeté, comme il sera vu plus loin.</w:t>
      </w:r>
    </w:p>
    <w:p>
      <w:r>
        <w:rPr>
          <w:b/>
        </w:rPr>
        <w:t>E. 3</w:t>
      </w:r>
    </w:p>
    <w:p>
      <w:r>
        <w:t>Le litige a pour objet le refus de l’OCPM de prolonger l’autorisation de séjour du recourant.![endif]&gt;![if&gt; Le recourant se plaint que le TAPI n’a pas pris en compte les violences conjugales qu’il dit avoir subies. Il n’aurait pu faire usage de son droit d’être entendu.</w:t>
      </w:r>
    </w:p>
    <w:p>
      <w:r>
        <w:rPr>
          <w:b/>
        </w:rPr>
        <w:t>E. 3.1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Ghana.![endif]&gt;![if&gt;</w:t>
      </w:r>
    </w:p>
    <w:p>
      <w:r>
        <w:rPr>
          <w:b/>
        </w:rPr>
        <w:t>E. 3.2</w:t>
      </w:r>
    </w:p>
    <w:p>
      <w:r>
        <w:t>Aux termes de l'art. 42 al. 1 LEI, le conjoint étranger d’un ressortissant suisse a droit à l’octroi d’une autorisation de séjour et à la prolongation de sa durée de validité, à condition de vivre en ménage commun avec lui.![endif]&gt;![if&gt;</w:t>
      </w:r>
    </w:p>
    <w:p>
      <w:r>
        <w:rPr>
          <w:b/>
        </w:rPr>
        <w:t>E. 3.3</w:t>
      </w:r>
    </w:p>
    <w:p>
      <w:r>
        <w:t>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LEI).![endif]&gt;![if&gt;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rPr>
          <w:b/>
        </w:rPr>
        <w:t>E. 3.4</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LEI).![endif]&gt;![if&gt;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précité consid. 3.2 ; 2C_401/2018 du 17 septembre 2018 consid. 4.2).</w:t>
      </w:r>
    </w:p>
    <w:p>
      <w:r>
        <w:rPr>
          <w:b/>
        </w:rPr>
        <w:t>E. 3.5</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intensité.![endif]&gt;![if&gt;</w:t>
      </w:r>
    </w:p>
    <w:p>
      <w:r>
        <w:rPr>
          <w:b/>
        </w:rPr>
        <w:t>E. 3.6</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3.5).![endif]&gt;![if&gt;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3.7</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mars 2023,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3.8</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3.9</w:t>
      </w:r>
    </w:p>
    <w:p>
      <w:r>
        <w:t>La procédure administrative est régie par la maxime inquisitoire, selon laquelle l'autorité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citées).![endif]&gt;![if&gt;</w:t>
      </w:r>
    </w:p>
    <w:p>
      <w:r>
        <w:rPr>
          <w:b/>
        </w:rPr>
        <w:t>E. 3.10</w:t>
      </w:r>
    </w:p>
    <w:p>
      <w:r>
        <w:t>En l’espèce, il est établi que le recourant a vécu marié avec son épouse en Suisse du 6 décembre 2016 à octobre 2019, soit moins de trois ans, avant de se séparer d’elle, de sorte qu’il ne peut prétendre à la prolongation de son autorisation de séjour et qu’il n’y a donc pas lieu d’examiner s’il est bien intégré sous l’angle de l’art. 50 al. 1 let. a LEI.![endif]&gt;![if&gt; Le recourant fait valoir que sa belle-famille l’aurait insulté, rabaissé, aurait crié sur lui et lui aurait fait du chantage quant à un éventuel renvoi. Son épouse aurait également crié s’il n’exécutait pas les tâches ménagères et l’aurait réduit au rang de simple domestique du fait de son bas niveau d’études. Il aurait été victime de violence économique. Le recourant a allégué ces faits pour la première fois dans sa réplique au TAPI. Il ne les a pas détaillés ni illustrés de façon concrète et objective. Il n’a pas rendu vraisemblable l’existence et le caractère systématique de la maltraitance, sa durée, ainsi que les pressions subjectives qu’il aurait subies. Le certificat médical établi le 16 janvier 2023 par le docteur G______ et atteste seulement d’un état anxio-dépressif consécutif à son divorce, sans contenir aucun élément anamnestique relatif à d’éventuelles violences subies de son épouse ou de sa belle-famille, alors même que le recourant avait alors selon ses dires déjà trouvé le courage de parler. Le recourant évoque encore un appel isolé à la police, sans toutefois indiquer son motif, sa date, son résultat, ni soutenir qu’il lui aurait été impossible de produire un rapport de police ou une main-courante. Il ne produit aucun certificat constatant des violences, aucune plainte pénale ni aucun témoignage écrit ou identité de témoin. Les allégations du recourant apparaissent dans ces circonstances impropres à établir ne serait-ce que la vraisemblance qu’il aurait subi des violences. C’est ainsi de manière conforme au droit que le TAPI n’a pas tenu compte de ses allégations de violences conjugales pour établir un cas d’application de l’art. 50 al. 1 let. b LEI. Compte tenu du caractère tardif de ses allégations et de ce qu’il n’a pas satisfait à son obligation de coopérer de manière accrue à l’établissement des faits, imposée par les art. 22 LPA, 77 al. 6 et al. 6 bis OASA, le recourant ne saurait reprocher au TAPI de n’avoir pas investigué les violences conjugales alléguées ni de ne pas avoir renvoyé la cause à l’OCPM à ces fins. Ni son droit d’être entendu ni la maxime inquisitoire n’ont été violés. Le grief sera écarté. Pour les mêmes motifs, il ne pourra être donné suite à la conclusion subsidiaire du recourant tendant au renvoi de la cause au TAPI pour instruction des violences conjugales alléguées.</w:t>
      </w:r>
    </w:p>
    <w:p>
      <w:r>
        <w:rPr>
          <w:b/>
        </w:rPr>
        <w:t>E. 4</w:t>
      </w:r>
    </w:p>
    <w:p>
      <w:r>
        <w:t>Le recourant se plaint encore de ce que l’application stricte de la loi au sujet de la durée de l’union conjugale produirait un résultat choquant. Il avait vécu cinq ans en concubinage mais uniquement 28 mois durant le mariage et sa volonté de fonder une communauté conjugale était effective. Il était traité de manière plus défavorable qu’une personne se mariant juste pour avoir un titre de séjour et divorçant trois ans et un jour après le mariage.![endif]&gt;![if&gt;</w:t>
      </w:r>
    </w:p>
    <w:p>
      <w:r>
        <w:rPr>
          <w:b/>
        </w:rPr>
        <w:t>E. 4.1</w:t>
      </w:r>
    </w:p>
    <w:p>
      <w:r>
        <w:t>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131 I 394 consid. 4.2 ;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 arrêts du Tribunal fédéral 2C_706/2012 du 16 avril 2013 consid. 5.1 ; 2C_491/2012 du 26 juillet 2012 consid. 5.1).![endif]&gt;![if&gt;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w:t>
      </w:r>
    </w:p>
    <w:p>
      <w:r>
        <w:rPr>
          <w:b/>
        </w:rPr>
        <w:t>E. 4.2</w:t>
      </w:r>
    </w:p>
    <w:p>
      <w:r>
        <w:t>En l’espèce, la situation qu’évoque le recourant est différente de la sienne puisqu’une communauté conjugale de trois ans au moins en Suisse satisfait précisément à la première condition de l’art. 50 al. 1 let. a LEI. Il n’est en outre pas acquis qu’un étranger se mariant « juste pour avoir un titre de séjour et qui divorce 3 ans et 1 jour après le mariage et le début de la vie commune » conserve son permis, comme semble le penser le recourant, compte tenu de la condition cumulative de la réussite de l'intégration posée à l’art. 50 al. 1 let. a LEI et de la limite générale de l’abus de droit, concrétisé notamment par le motif de révocation prévu à l’art. 62 al. 1 let. a LEI.![endif]&gt;![if&gt; Le recourant n’établit ainsi ni inégalité de traitement ni arbitraire. Le grief sera écarté.</w:t>
      </w:r>
    </w:p>
    <w:p>
      <w:r>
        <w:rPr>
          <w:b/>
        </w:rPr>
        <w:t>E. 4.3</w:t>
      </w:r>
    </w:p>
    <w:p>
      <w:r>
        <w:t>Le recourant fait enfin valoir un prochain changement de la loi, soit l’introduction du PACS pour tous, qui rendrait la décision « obsolète ».![endif]&gt;![if&gt; Il perd de vue que le litige doit être jugé en application du droit actuellement en vigueur. C’est ainsi à bon droit que l’OCPM puis le TAPI ont refusé de donner suite à la demande de renouvellement de son permis de séjour formée par le recourant.</w:t>
      </w:r>
    </w:p>
    <w:p>
      <w:r>
        <w:rPr>
          <w:b/>
        </w:rPr>
        <w:t>E. 5</w:t>
      </w:r>
    </w:p>
    <w:p>
      <w:r>
        <w:t>Il reste à examiner si le renvoi du recourant est fondé.![endif]&gt;![if&gt;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ATA/322/2022 du 29 mars 2022 consid. 11a). Le renvoi d'une personne étrangère ne peut être ordonné que si l'exécution de celui-ci est possible, licite ou peut être raisonnablement exigée (art. 83 al. 1 LEI).![endif]&gt;![if&gt;</w:t>
      </w:r>
    </w:p>
    <w:p>
      <w:r>
        <w:rPr>
          <w:b/>
        </w:rPr>
        <w:t>E. 5.2</w:t>
      </w:r>
    </w:p>
    <w:p>
      <w:r>
        <w:t>En l'espèce, dès lors qu'elle a, à juste titre, refusé de renouveler l'autorisation de séjour du recourant, l'autorité intimée devait prononcer son renvoi.![endif]&gt;![if&gt; Pour le surplus, il ne ressort pas du dossier que l'exécution de son renvoi ne serait pas possible, licite ou ne pourrait raisonnablement être exigée. Le recourant ne le prétend d’ailleurs pas. Entièrement mal fondé, le recours sera rejeté.</w:t>
      </w:r>
    </w:p>
    <w:p>
      <w:r>
        <w:rPr>
          <w:b/>
        </w:rPr>
        <w:t>E. 6</w:t>
      </w:r>
    </w:p>
    <w:p>
      <w:r>
        <w:t>Vu l'issue du litige, un émolument de CHF 400.- sera mis à la charge du recourant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