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A/2226/2024 vom 24. Juli 2025</w:t>
      </w:r>
    </w:p>
    <w:p>
      <w:r>
        <w:t>GE Cour de justice, 2025-07-24, FR</w:t>
      </w:r>
    </w:p>
    <w:p>
      <w:r>
        <w:rPr>
          <w:b/>
        </w:rPr>
        <w:t xml:space="preserve">Quelle: </w:t>
      </w:r>
      <w:r>
        <w:t>https://mcp.opencaselaw.ch/entscheid/ge_gerichte_A_2226_2024</w:t>
      </w:r>
    </w:p>
    <w:p>
      <w:r>
        <w:t>FR: GE_GERICHTE A/2226/2024 du 24 juillet 2025</w:t>
      </w:r>
    </w:p>
    <w:p>
      <w:r>
        <w:t>IT: GE_GERICHTE A/2226/2024 del 24 luglio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L’objet du litige porte sur le bien-fondé de la décision de n’augmenter la demi-rente allouée à l’assurée à une rente entière que pour une période limitée du 1 er août au 30 novembre 2022.</w:t>
      </w:r>
    </w:p>
    <w:p>
      <w:r>
        <w:rPr>
          <w:b/>
        </w:rPr>
        <w:t>E. 3.1</w:t>
      </w:r>
    </w:p>
    <w:p>
      <w:r>
        <w:t>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Dans les cas de révision selon l'art. 17 LPGA, conformément aux principes généraux du droit intertemporel (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 a RAI (arrêts du Tribunal fédéral 8C_55/2023 du 11 juillet 2023 consid. 2.2 ; 8C_644/2022 du 8 février 2023 consid. 2.2.3). La réglementation légale concernant la révision et le réexamen de décisions ou de décisions sur opposition entrées en force (art. 53 LPGA) n'a pas été modifiée dans le cadre du développement de l'AI susmentionné, raison pour laquelle aucune question de droit intertemporel ne se pose à cet égard ( cf. arrêt du Tribunal fédéral 8C_644/2022 du 8 février 2023 consid. 2.2.2).</w:t>
      </w:r>
    </w:p>
    <w:p>
      <w:r>
        <w:rPr>
          <w:b/>
        </w:rPr>
        <w:t>E. 3.2</w:t>
      </w:r>
    </w:p>
    <w:p>
      <w:r>
        <w:t>En l’occurrence, il n’est pas contesté que le droit à la rente est né antérieurement au 1 er janvier 2022. Toutefois, la question litigieuse est de savoir si un motif de révision est survenu, selon l’art. 88a RAI, à compter de cette date, de sorte que les dispositions applicables seront citées dans leur nouvelle teneur. On rappellera déjà que lorsqu’un droit à la rente a pris naissance antérieurement au 1 er janvier 2022, un éventuel passage au nouveau système de rentes linéaire s'effectue, pour les bénéficiaires de rente qui n’avaient pas encore 55 ans à cette date, conformément à la let. b des dispositions transitoires de la LAI relatives à la modification du 19 juin 2020 (ci-après : dispositions transitoires de la LAI). Pour ces assurés, l’ancien système de rente est maintenu jusqu’au moment où, lors d’une révision, le taux d’invalidité subit une modification d’au moins 5 points de pourcentage ( cf. art. 17 al. 1 LPGA) et si cette modification comporte soit une augmentation du taux d’invalidité qui a pour effet une augmentation de la quotité de la rente, soit une diminution du taux d’invalidité qui a pour effet une diminution de la quotité de la rente ( cf. let. b al. 1 et 2 dispositions transitoires de la LAI). Dans ce cas, la fraction de la rente est adaptée aux nouvelles dispositions et transférée dans le nouveau système de rentes linéaire. En revanche, si la modification du taux d’invalidité n’atteint pas 5 points de pourcentage, il n’y a pas révision ; le taux d’invalidité reste inchangé et l’assuré conserve son droit à la rente en l’état, à savoir soumis aux dispositions de l’ancien droit. Tel est également le cas si la modification du taux d’invalidité est supérieure ou égale à 5 points de pourcentage et que l’application du nouveau système conduit soit à une diminution de la quotité de la rente en cas d’augmentation du taux d’invalidité, soit à une augmentation de la quotité de la rente en cas de diminution du taux d’invalidité (OFAS, circulaire relative aux dispositions transitoires concernant le système de rentes linéaire valable dès le 1 er janvier 2022 [circ. DROIT DC AI], ch. 2004 à 2008).</w:t>
      </w:r>
    </w:p>
    <w:p>
      <w:r>
        <w:rPr>
          <w:b/>
        </w:rPr>
        <w:t>E. 4.1</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125 V 413 consid. 2d et les références).</w:t>
      </w:r>
    </w:p>
    <w:p>
      <w:r>
        <w:rPr>
          <w:b/>
        </w:rPr>
        <w:t>E. 4.2</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w:t>
      </w:r>
    </w:p>
    <w:p>
      <w:r>
        <w:rPr>
          <w:b/>
        </w:rPr>
        <w:t>E. 4.3</w:t>
      </w:r>
    </w:p>
    <w:p>
      <w:r>
        <w:t>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 a al. 1 RAI). Le fardeau de la preuve quant à cette amélioration de la capacité de travail incombe à l’administration (arrêt du Tribunal fédéral 8C_510/2020 du 15 avril 2021 consid. 2.2 et les références). Un motif de révision a été retenu notamment lorsqu’une méthode différente d’évaluation de l’invalidité s’applique (arrêt du Tribunal fédéral 8C_716/2022 du 5 juillet 2023 consid. 4.2), lors d’un changement de poste de travail (arrêt du Tribunal fédéral 9C_33/2016 du 16 août 2016 consid. 8.1) et lorsqu’une mesure de réadaptation a réussi (arrêt du Tribunal fédéral 9C_231/2016 du 1 er juin 2016 consid. 2.1).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1er juin 2016 consid. 4.3 ; cf . également 9C_353/2020 du 5 mai 2021 consid. 2.2 et les références).</w:t>
      </w:r>
    </w:p>
    <w:p>
      <w:r>
        <w:rPr>
          <w:b/>
        </w:rPr>
        <w:t>E. 4.4</w:t>
      </w:r>
    </w:p>
    <w:p>
      <w:r>
        <w:t>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w:t>
      </w:r>
    </w:p>
    <w:p>
      <w:r>
        <w:rPr>
          <w:b/>
        </w:rPr>
        <w:t>E. 4.5</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5.2</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5.3</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 Aussi, le caractère invalidant d'atteintes à la santé psychique doit être établi dans le cadre d'un examen global, en tenant compte de différents indicateurs, au nombre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5.4</w:t>
      </w:r>
    </w:p>
    <w:p>
      <w:r>
        <w:t>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à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w:t>
      </w:r>
    </w:p>
    <w:p>
      <w:r>
        <w:rPr>
          <w:b/>
        </w:rPr>
        <w:t>E. 5.5</w:t>
      </w:r>
    </w:p>
    <w:p>
      <w:r>
        <w:t>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 cf. ATF 141 V 281 consid. 2.2 ; arrêt du Tribunal fédéral 9C_756/2018 du 17 avril 2019 consid. 5.2.2).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arrêt du Tribunal fédéral 9C_16/2016 du 14 juin 2016 consid. 3.2). à lui seul, un simple comportement ostensible ne permet pas de conclure à une exagération (ATF 141 V 281 consid. 2.2.1 et la référence).</w:t>
      </w:r>
    </w:p>
    <w:p>
      <w:r>
        <w:rPr>
          <w:b/>
        </w:rPr>
        <w:t>E. 5.6</w:t>
      </w:r>
    </w:p>
    <w:p>
      <w:r>
        <w:t>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 cf .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 cf.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 cf . ATF 141 V 281 consid. 4.4 et les références).</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6.2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7</w:t>
      </w:r>
    </w:p>
    <w:p>
      <w:r>
        <w:t>En l’espèce, l’aggravation transitoire ayant justifié l’octroi d’une demi-rente en lieu et place d’une rente entière à compter du 1 er août 2022 n’est pas contestée par les parties. La recourante conteste en revanche le retour à une demi-rente à compter du 1 er décembre 2022, soit trois mois après l’amélioration invoquée par l’intimé. La recourante argue principalement que, jusqu’en janvier 2023, le suivi ambulatoire auprès de la clinique I______ l’empêchait matériellement d’exercer une activité à mi-temps, argument écarté par l’intimé sur la base de l’avis des experts et du SMR. La recourante semble également contester, de manière générale, la capacité de travail de 50% reconnue par l’intimé, au-delà même de la période de suivi ambulatoire. À cet égard, il convient d’examiner d’abord la valeur probante de l’expertise réalisée en novembre 2023. On notera que le rapport remplit formellement tous les réquisits jurisprudentiels, en ce sens qu’il se fonde sur une anamnèse détaillée, des examens cliniques de la recourante et tient compte des plaintes rapportées par cette dernière. Il a au surplus été établi en pleine connaissance du dossier et ses conclusions, dûment motivées, ne laissent pas apparaître de contradiction. Il y a donc lieu de lui reconnaître pleine valeur probante. Quant au fond, les experts ont dûment motivé leurs conclusions. L’examen rhumatologique a été qualifié d’identique à celui pratiqué en janvier 2019, dont l’expert rhumatologue a indiqué rejoindre l’intégralité des conclusions. La fibromyalgie a été confirmée. Il a été constaté que la connectivite indifférenciée était stable depuis de nombreuses années et ce, sans aucun traitement. L’expert en a tiré la conclusion que l’état rhumatologique de l’assurée ne justifiait en l’état aucune mesure thérapeutique. La capacité de travail, d’un point de vue rhumatologique, que ce soit dans une activité adaptée ou dans l’activité habituelle, était de 100% depuis toujours, sans aucune restriction. À cet égard, la Cour de céans constate, à l’instar du SMR, dans son avis du 7 juin 2023, que le rapport émanant de son médecin traitant n’amène aucun élément permettant de s’écarter des conclusions de l’expert rhumatologue. En effet, la Dre C______ confirme que l’état de santé somatique de sa patiente n’a que peu évolué depuis 2012, corroborant ainsi les constatations de l’expert quant à un état superposable à celui ayant fait l’objet de l’expertise de janvier 2019. En définitive, le médecin traitant, en concluant à une capacité de travail fortement limitée de sa patiente, ne fait qu’émettre un avis divergeant fondé sur un même état de fait. Au plan psychiatrique, l’expert a pris acte du fait que l’assurée a été hospitalisée en mars 2022 en admission volontaire à la clinique I______ avec un diagnostic principal de trouble dépressif récurrent, épisode sévère. À cet égard, il a néanmoins relevé que le dosage du traitement de Saroten prescrit à la sortie de l’assurée était inférieur à celui recommandé pour le traitement de la dépression et donc incohérent – tout comme la description clinique – avec un diagnostic aussi sévère que celui d’épisode dépressif sévère. Il a souligné par ailleurs que le TDAH n’avait empêché l’assurée ni d’obtenir son certificat fédéral de capacité, ni de se former en cours d’emploi à la comptabilité, ni encore de travailler de nombreuses années. À l’examen clinique, ni symptôme dépressif d’une sévérité significative, ni tristesse, ni ralentissement psychomoteur, ni trouble de la concentration ou de l’attention n’ont été observés, raison pour laquelle le trouble a été jugé en rémission complète. Là encore, les conclusions de l’expert psychiatre rejoignent celles de l’expert précédent : en 2019, le Dr G______ avait également constaté l’absence de la moindre atteinte psychique invalidante. Comme relevé par l’expert, les conclusions de la Dre H______, tant au niveau des diagnostics retenus que de l’incapacité totale de travail alléguée, n’apparaissent pas de nature à s’écarter des conclusions de l’expertise, vu les incohérences relevées par l’expert. D’autant moins que le rapport de sortie fait état d’une thymie plus stable et d’une tristesse en diminution et que l’expert n’a pour sa part retrouvé aucun symptôme d’une maladie psychique invalidante. La recourante elle-même, d’ailleurs, indique que ce sont avant tout les troubles somatiques qui la handicapent dans son quotidien. Cela étant, les experts ont noté l’absence de limitations uniformes du niveau des activités chez une assurée « aux normes » dans toutes les tâches de la vie quotidienne, la gestion de ses tâches administratives et de son budget, décrivant une semaine pleine d’activités – que ce soit des activités de soins, distractives ou de loisirs –, participant à de nombreuses réunions, faisant régulièrement du bénévolat, de la méditation, du yoga, des promenades, du badminton, de la balnéothérapie et fréquentant l’hôpital de jour une fois par semaine. L’assurée a expliqué rencontrer des amis, faire des massages, du bricolage et de la peinture, regarder des vidéos, notamment scientifiques, et utiliser un télescope. Il a été constaté qu’elle était autonome dans ses déplacements et s’était même remise à conduire sa voiture. Sur la base du descriptif de la journée type, de l’examen clinique et de l’anamnèse, l’expert psychiatre a conclu à l’absence de toute perte de fonctionnalité de nature psychiatrique. Les experts ont souligné par ailleurs que l’assurée disposait de ressources, tant internes (l’assurée a réussi à se sevrer de plusieurs substances dont elle était dépendante, elle a démontré ses facultés d’apprendre en travaillant et son intérêt pour de nombreux domaines) qu’externes (elle peut compter sur ses parents, l’un de ses frères, une amie et sa psychiatre, et entretient de nombreux contacts et relations). Le SMR, dans un avis dûment documenté et argumenté, a expliqué les raisons pour lesquelles il s’écartait malgré tout, en faveur de la recourante, de l’évaluation par les experts de sa capacité de travail. Il a estimé que l’état de la recourante, considéré dans sa globalité et en tenant également compte de l’endométriose sévère dont souffre l’assurée, devait permettre d’admettre une réduction de sa capacité de travail de 50%, tout comme antérieurement à son hospitalisation, consécutive à une décompensation psychique transitoire et désormais en complète rémission. Cette argumentation, dont on rappellera une fois encore qu’elle est favorable à l’assurée, ne prête pas flanc à la critique. Reste à considérer la date à partir de laquelle il convient d’admettre que la situation est revenue à son état antérieur. L’intimé considère que cela remonte à la sortie de clinique de la recourante, alors que cette dernière soutient que ce retour à l’état antérieur n’a pu se faire qu’à l’issue du suivi ambulatoire qui a succédé à son hospitalisation. Cela étant, ainsi que le font remarquer l’intimé et le SMR, l’assurée avait bel et bien retrouvé ses facultés et ses ressources à sa sortie, compte tenu de l’état décrit dans le rapport y relatif. Certes, un suivi a été mis en place durant trois, puis deux jours par semaine jusqu’en janvier 2023, mais cela, à sa demande. Ainsi que le relève le SMR, il ressort du rapport d’hospitalisation de la clinique I______ que c’est à la demande de l’assurée et en l’absence de danger immédiat qu’elle est sortie définitivement le 27 août 2022. La prise en charge à l’hôpital de jour a également été organisée à sa demande. L’expert psychiatre a confirmé qu’au moment de la sortie, il y avait une tendance à la normalisation de la thymie, une amélioration de la qualité du sommeil, ainsi qu’une participation dynamique aux activités de soins proposées dans le cadre du groupe d’entraide, d’ergothérapie et de sport. Dans ces circonstances, la Cour de céans partage l’avis du SMR selon lequel on ne peut retenir la période de suivi ambulatoire comme incapacitante. Dans ces conditions, la décision de l’intimé de limiter l’augmentation transitoire de la rente au 30 novembre 2022 n’apparaît pas critiquable.</w:t>
      </w:r>
    </w:p>
    <w:p>
      <w:r>
        <w:rPr>
          <w:b/>
        </w:rPr>
        <w:t>E. 8</w:t>
      </w:r>
    </w:p>
    <w:p>
      <w:r>
        <w:t>Au vu de ce qui précède, le recours est rejeté et la recourante condamnée au paiement d'un émolument de CHF 200.- (art. 69 al.1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