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A/2225/2024 vom 3. Oktober 2024</w:t>
      </w:r>
    </w:p>
    <w:p>
      <w:r>
        <w:t>GE Cour de justice, 2024-10-03, FR</w:t>
      </w:r>
    </w:p>
    <w:p>
      <w:r>
        <w:rPr>
          <w:b/>
        </w:rPr>
        <w:t xml:space="preserve">Quelle: </w:t>
      </w:r>
      <w:r>
        <w:t>https://mcp.opencaselaw.ch/entscheid/ge_gerichte_A_2225_2024</w:t>
      </w:r>
    </w:p>
    <w:p>
      <w:r>
        <w:t>FR: GE_GERICHTE A/2225/2024 du 3 octobre 2024</w:t>
      </w:r>
    </w:p>
    <w:p>
      <w:r>
        <w:t>IT: GE_GERICHTE A/2225/2024 del 3 ottobre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art. 43 LPCC). En l’occurrence, le recours a été interjeté en temps utile. En revanche, la question de sa recevabilité se pose néanmoins au vu de sa motivation.</w:t>
      </w:r>
    </w:p>
    <w:p>
      <w:r>
        <w:rPr>
          <w:b/>
        </w:rPr>
        <w:t>E. 1.5</w:t>
      </w:r>
    </w:p>
    <w:p>
      <w:r>
        <w:t>Selon l'art. 61 let. b LPGA, l'acte de recours doit contenir un exposé succinct des faits et des motifs invoqués ainsi que des conclusions. L'art. 89B LPA pose les mêmes exigences. Selon la jurisprudence, un recours ne comportant que des arguments sur le fond interjeté contre un jugement d'irrecevabilité est considéré comme dépourvu de motivation topique et non valable (cf. ATF 123 V 335 ; ATF 9C_632/2008 ).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En l’occurrence, l’objet du litige, tel que circonscrit par la décision litigieuse, se limite au bien-fondé de la demande en restitution par l’intimé de la somme de CHF 6'004.-. Or, force est de constater que, tant dans son recours du 27 juin 2024 que dans son écriture complémentaire du 8 juillet 2024, la recourante n’invoque aucun argument à cet égard, se contentant de contester la suspension du versement de ses prestations pour une période ultérieure, qui a fait l’objet d’une autre décision à laquelle elle n’a pas fait opposition. Cette motivation étant dénuée de toute pertinence, le recours apparaît irrecevable à la forme.</w:t>
      </w:r>
    </w:p>
    <w:p>
      <w:r>
        <w:rPr>
          <w:b/>
        </w:rPr>
        <w:t>E. 1.6</w:t>
      </w:r>
    </w:p>
    <w:p>
      <w:r>
        <w:t>Cela étant, la recourante ayant fait brièvement valoir, lors de l’audience, qu’elle n’aurait pas reçu, durant la période concernée, les prestations auxquelles elle avait droit, on ajoutera que, même s’il devait être considéré comme recevable, son recours devrait être rejeté comme manifestement mal fondé. En effet, l’allégation selon laquelle la recourante n’aurait pas reçu le plein montant de ses prestations de janvier à avril 2022 n’est étayé par aucun élément et n’apparaît guère crédible. On peut en effet raisonnablement subodorer que si tel avait effectivement été le cas, la bénéficiaire se serait plainte au SPC à l’époque des faits. Pour le surplus, on notera que la recourante ne conteste à aucun moment que les prestations dont la restitution lui est réclamée lui ont bel et bien été versées à tort.</w:t>
      </w:r>
    </w:p>
    <w:p>
      <w:r>
        <w:rPr>
          <w:b/>
        </w:rPr>
        <w:t>E. 1.7</w:t>
      </w:r>
    </w:p>
    <w:p>
      <w:r>
        <w:t>Eu égard aux considérations qui précèdent, le recours est rejeté comme manifestement infondé en tant qu’il est recevable.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