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A/2222/2025 vom 20. November 2025</w:t>
      </w:r>
    </w:p>
    <w:p>
      <w:r>
        <w:t>GE Cour de justice, 2025-11-20, FR</w:t>
      </w:r>
    </w:p>
    <w:p>
      <w:r>
        <w:rPr>
          <w:b/>
        </w:rPr>
        <w:t xml:space="preserve">Quelle: </w:t>
      </w:r>
      <w:r>
        <w:t>https://mcp.opencaselaw.ch/entscheid/ge_gerichte_A_2222_2025</w:t>
      </w:r>
    </w:p>
    <w:p>
      <w:r>
        <w:t>FR: GE_GERICHTE A/2222/2025 du 20 novembre 2025</w:t>
      </w:r>
    </w:p>
    <w:p>
      <w:r>
        <w:t>IT: GE_GERICHTE A/2222/2025 del 20 novembre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À titre préalable, il sied d’examiner si les conditions de recevabilité sont remplies, notamment en ce qui concerne le délai de recours.</w:t>
      </w:r>
    </w:p>
    <w:p>
      <w:r>
        <w:rPr>
          <w:b/>
        </w:rPr>
        <w:t>E. 2.1</w:t>
      </w:r>
    </w:p>
    <w:p>
      <w:r>
        <w:t>Les décisions sur opposition et celles contre lesquelles la voie de l’opposition n’est pas ouverte sont sujettes à recours dans les 30 jours suivant la notification de la décision sujette à recours (art. 56 et 60 LPGA ; cf . également l’art. 63 al. 1 let. a de la loi sur la procédure administrative du 12 septembre 1985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 cf .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2.2</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e éd., n. 704 p. 153 ; KÖLZ/HÄNER, Verwaltungsverfahren und Verwaltungsrechtspflege des Bundes , 2 e éd., n. 341 p. 123). Lorsque la notification intervient par pli recommandé, elle est réputée parfaite lorsque l'intéressé ou toute personne qui le représente ou dont on peut légitimement penser qu'elle le représente ( cf . ATF 110 V 37 consid. 3) a reçu le pli ou l'a retiré au guichet postal en cas d'absence lors du passage du facteur (ATFA non publié du 11 avril 2005, C 24/05 consid. 4.1).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La notification consiste à faire parvenir l'information dans la sphère de compétence du destinataire. Son existence ne peut être retenue que s'il est établi qu'une invitation à retirer un pli recommandé a bien été déposée dans la boîte aux lettres du destinataire (arrêts du Tribunal fédéral 8C_621/2007 du 5 mai 2008 consid. 4.2 ;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(arrêts du Tribunal fédéral 2C_146/2011 du 14 février 2011 ; 2C_86/2010 du 4 octobre 2010 consid. 2 ; ATF 130 III 396 consid. 1.2.3). Une deuxième notification est en principe privée d’effet si la première a été faite régulièrement (ATF 119 V 89 consid. 4b ; ATA/743/2003 du 7 octobre 2003 ; Pierre MOOR, op. cit ., p. 353).</w:t>
      </w:r>
    </w:p>
    <w:p>
      <w:r>
        <w:rPr>
          <w:b/>
        </w:rPr>
        <w:t>E. 2.3</w:t>
      </w:r>
    </w:p>
    <w:p>
      <w:r>
        <w:t>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w:t>
      </w:r>
    </w:p>
    <w:p>
      <w:r>
        <w:rPr>
          <w:b/>
        </w:rPr>
        <w:t>E. 3.1</w:t>
      </w:r>
    </w:p>
    <w:p>
      <w:r>
        <w:t>En l’occurrence, dans son mémoire de recours posté le 27 juin 2025, le recourant soutient que le délai de recours de 30 jours, dès réception de la décision, venait en principe à échéance le 23 avril 2025 ; toutefois, après application de la suspension des délais du 11 avril au 28 avril, le délai pour former recours aurait été reporté au 12 mai 2025, ce qui rendrait son recours recevable. On peine à suivre le raisonnement du recourant. En effet, quand bien même son délai pour former recours aurait été, comme il l’explique, reporté au lundi 12 mai 2025, le mémoire de recours posté le 27 juin 2025 serait de toute façon tardif car, même en suivant le raisonnement du recourant, le délai de 30 jours serait arrivé à échéance le mercredi 11 juin 2025, dernier jour du délai.</w:t>
      </w:r>
    </w:p>
    <w:p>
      <w:r>
        <w:rPr>
          <w:b/>
        </w:rPr>
        <w:t>E. 3.2</w:t>
      </w:r>
    </w:p>
    <w:p>
      <w:r>
        <w:t>Le calcul effectué par le recourant est erroné car, selon les pièces figurant au dossier, le pli recommandé contenant la décision a été posté le 27 mars et le recourant a été avisé pour retrait le 28 mars 2025. Le délai de garde de 7 jours s’est achevé le 4 avril 2025 sans que le recourant ne soit allé chercher son courrier. Partant, le premier jour du délai de recours était le 5 avril 2025 et en dépit de la suspension des délais sept jours avant et sept jours après Pâques (soit le dimanche 20 avril 2025), le délai de 30 jours était largement dépassé lorsque le recourant a posté son mémoire de recours, le 27 juin 2025. L’envoi de la copie de la décision par courrier simple du 11 avril 2025, effectué par le SPC après que ce dernier eût reçu en retour le pli recommandé du 27 mars 2025, est privé d’effet car la première notification a été faite régulièrement. Le SPC a pris la précaution de préciser ce point dans son courrier du 11 avril 2025, qui explique que « la copie figurant en annexe ne vaut pas nouvelle notification ». Il sied encore d’ajouter que le recourant pouvait s’attendre à la notification d’une décision par pli recommandé, suite à son opposition du 5 mars 2025.</w:t>
      </w:r>
    </w:p>
    <w:p>
      <w:r>
        <w:rPr>
          <w:b/>
        </w:rPr>
        <w:t>E. 3.3</w:t>
      </w:r>
    </w:p>
    <w:p>
      <w:r>
        <w:t>Il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 112 V 256 consid. 2a). Le recourant n’a fait valoir aucun empêchement d’agir dans le délai de 30 jours dans ses écritures, se bornant à considérer que le délai de 30 jours était respecté selon le raisonnement figurant supra sous ch. 3.1. Compte tenu du fait que le recours est tardif et donc irrecevable, il n’est pas nécessaire d’examiner la question du montant du seuil de la fortune du recourant.</w:t>
      </w:r>
    </w:p>
    <w:p>
      <w:r>
        <w:rPr>
          <w:b/>
        </w:rPr>
        <w:t>E. 4.1</w:t>
      </w:r>
    </w:p>
    <w:p>
      <w:r>
        <w:t>En l'absence de motif valable de restitution de délai, le recours doit être déclaré irrecevable pour cause de tardiveté.</w:t>
      </w:r>
    </w:p>
    <w:p>
      <w:r>
        <w:rPr>
          <w:b/>
        </w:rPr>
        <w:t>E. 4.2</w:t>
      </w:r>
    </w:p>
    <w:p>
      <w:r>
        <w:t>Pour le surplus, en l’absence de loi spéciale prévoyant des frais judiciaires,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