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A/2218/2020 vom 13. August 2020</w:t>
      </w:r>
    </w:p>
    <w:p>
      <w:r>
        <w:t>GE Cour de justice, 2020-08-13, FR</w:t>
      </w:r>
    </w:p>
    <w:p>
      <w:r>
        <w:rPr>
          <w:b/>
        </w:rPr>
        <w:t xml:space="preserve">Quelle: </w:t>
      </w:r>
      <w:r>
        <w:t>https://mcp.opencaselaw.ch/entscheid/ge_gerichte_A_2218_2020</w:t>
      </w:r>
    </w:p>
    <w:p>
      <w:r>
        <w:t>FR: GE_GERICHTE A/2218/2020 du 13 août 2020</w:t>
      </w:r>
    </w:p>
    <w:p>
      <w:r>
        <w:t>IT: GE_GERICHTE A/2218/2020 del 13 agosto 2020</w:t>
      </w:r>
    </w:p>
    <w:p>
      <w:pPr>
        <w:pStyle w:val="Heading2"/>
      </w:pPr>
      <w:r>
        <w:t>Volltext</w:t>
      </w:r>
    </w:p>
    <w:p>
      <w:r>
        <w:t>Genève Cour de justice (Cour de droit public) Chambre des assurances sociales 13.08.2020 A/2218/2020</w:t>
      </w:r>
    </w:p>
    <w:p>
      <w:r>
        <w:t>A/2218/2020 ATAS/659/2020 du 13.08.2020 ( LPP ) , RATIONE MATERIAE rÉpublique et canton de genÈve POUVOIR JUDICIAIRE A/2218/2020 ATAS/659/2020 COUR DE JUSTICE Chambre des assurances sociales Arrêt du 13 août 2020 3 ème Chambre En la cause Madame A______, domiciliée c/o M. B______, à PLAN-LES-OUATES demanderesse ATTENDU EN FAIT Que Madame A______, née B______ le ______ 1980 à Genève et Monsieur C______, né le ______ 1976, se sont mariés le ______ 2004 ; Que par jugement du 27 avril 2020, le Juge aux affaires familiales du Tribunal judiciaire de Thonon-Les-Bains, compétent en raison du domicile commun des époux en France, a prononcé le divorce ; Que dans les considérants de son jugement, le juge français a relevé que Mme B______ exerçait comme esthéticienne indépendante et que M. C______ était salarié d'une société à responsabilité limitée à Genève ; Que par courrier du 20 juillet 2020, Mme B______ a demandé à la Cour de céans de procéder au partage des avoirs de prévoyance du couple. CONSIDERANT EN DROIT Qu'en vertu de l'art. 63 al. 1bis de la loi fédérale sur le droit international privé du 18 décembre 1987 (LDIP - RS 291), la compétence des tribunaux suisses est exclusive pour connaître du partage de prétentions de prévoyance professionnelle envers une institution suisse de prévoyance professionnelle ; Que c'est dès lors à juste titre que le Juge aux affaires familiales de Thonon-les-Bains ne s'est pas prononcé sur cette question ; Que le 1er janvier 2017, est entrée en vigueur la modification des art. 122ss du Code civil suisse du 10 décembre 1907 (CC - RS 210) concernant le partage des prestations de sortie des ex-époux, ainsi que des art. 280ss du Code de procédure civile du 19 décembre 2008 (CPC - RS 272) et 22ss de la loi fédérale sur le libre passage dans la prévoyance professionnelle vieillesse, survivants et invalidité du 17 décembre 1993 (loi sur le libre passage, LFLP - RS 831.42) ; Que le jugement de divorce ayant été rendu après l'entrée en vigueur, le 1er janvier 2017, des nouvelles dispositions relatives au partage de la prévoyance professionnelle en cas de divorce, ce sont les dispositions légales dans leur nouvelle teneur qui s'appliquent (art. 7d Tit. fin. CC) ; Que l'art. 25a LFLP règle la procédure en cas de divorce ; Que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 ; Qu'en l'occurrence, c'est donc au juge civil de se déterminer préalablement sur la clé de répartition et d'ordonner le partage conformément aux art. 122 à 124e du CC et 280 et 281 du CPC ; Qu'en effet, la clé de répartition du partage peut être influencée par la manière dont a été liquidé le régime matrimonial ; Qu'ainsi, l'art. 124b CC prévoit que les époux peuvent, dans une convention sur les effets du divorce, s'écarter du partage par moitié ou renoncer au partage de la prévoyance professionnelle, à condition qu'une prévoyance vieillesse et invalidité adéquate reste assurée, que le juge peut attribuer moins de la moitié de la prestation de sortie au conjoint créancier ou n'en attribuer aucune pour de justes motifs (par exemple, lorsque le partage par moitié s'avère inéquitable en raison de la liquidation du régime matrimonial ou de la situation économique des époux après le divorce, des besoins de prévoyance de chacun des époux, compte tenu notamment de leur différence d'âge) ou encore, que le juge peut ordonner l'attribution de plus de la moitié de la prestation de sortie au conjoint créancier lorsque celui-ci prend en charge des enfants communs après le divorce et que le conjoint débiteur dispose encore d'une prévoyance vieillesse et invalidité adéquate ; Que le jugement de divorce n'est complet que s'il est entièrement exécutable, ce qui n'est pas le cas lorsque la question des aspects liés à la prévoyance professionnelle demeure indécise ; Qu'il revient alors au juge du divorce suisse de compléter le jugement de divorce prononcé en France s'agissant des aspects liés à la prévoyance professionnelle ; Qu'en conséquence, la cause est transférée au juge civil comme objet de sa compétence. PAR CES MOTIFS, LA CHAMBRE DES ASSURANCES SOCIALES : 1.             Constate son incompétence ratione materiae. 2.             Transfert la cause au Tribunal civil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