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A/2214/2007 vom 27. September 2007</w:t>
      </w:r>
    </w:p>
    <w:p>
      <w:r>
        <w:t>GE Cour de justice, 2007-09-27, FR</w:t>
      </w:r>
    </w:p>
    <w:p>
      <w:r>
        <w:rPr>
          <w:b/>
        </w:rPr>
        <w:t xml:space="preserve">Quelle: </w:t>
      </w:r>
      <w:r>
        <w:t>https://mcp.opencaselaw.ch/entscheid/ge_gerichte_A_2214_2007</w:t>
      </w:r>
    </w:p>
    <w:p>
      <w:r>
        <w:t>FR: GE_GERICHTE A/2214/2007 du 27 septembre 2007</w:t>
      </w:r>
    </w:p>
    <w:p>
      <w:r>
        <w:t>IT: GE_GERICHTE A/2214/2007 del 27 settembre 2007</w:t>
      </w:r>
    </w:p>
    <w:p>
      <w:pPr>
        <w:pStyle w:val="Heading2"/>
      </w:pPr>
      <w:r>
        <w:t>Regeste</w:t>
      </w:r>
    </w:p>
    <w:p>
      <w:r>
        <w:t>Gage mobilier. | L'Office des poursuites ne peut, de sa propre initiative, étendre la poursuite en réalisation de gage à des biens non mentionnés dans la réquisition. | LP.37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Partant, la Commission de céans constatera la nullité du procès-verbal d'estimation de gage et invitera l'Office à en dresser un nouveau, conforme à la liste annexée à la réquisition de poursuite. L'Office sera invité, pour des questions de clarté, à utiliser le même libellé dans l'énumération des biens et à mentionner ceux qui ne se trouvent plus en possession de la poursuivante, le cas échéant, en produisant les justificatifs de leur restitution au plaignant. Le procès-verbal devra, par ailleurs, être communiqué aux parties par pli recommandé (art. 34 LP).</w:t>
      </w:r>
    </w:p>
    <w:p>
      <w:r>
        <w:rPr>
          <w:b/>
        </w:rPr>
        <w:t>E. 4</w:t>
      </w:r>
    </w:p>
    <w:p>
      <w:r>
        <w:t>Déboute les parties de toutes autres conclusions. Siégeant : Mme Ariane WEYENETH, présidente ; Mme Florence CASTELLA et M. Philipp GANZONI, juges assesseur(e)s.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