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A/2213/2024 vom 11. November 2025</w:t>
      </w:r>
    </w:p>
    <w:p>
      <w:r>
        <w:t>GE Cour de justice, 2025-11-11, FR</w:t>
      </w:r>
    </w:p>
    <w:p>
      <w:r>
        <w:rPr>
          <w:b/>
        </w:rPr>
        <w:t xml:space="preserve">Quelle: </w:t>
      </w:r>
      <w:r>
        <w:t>https://mcp.opencaselaw.ch/entscheid/ge_gerichte_A_2213_2024</w:t>
      </w:r>
    </w:p>
    <w:p>
      <w:r>
        <w:t>FR: GE_GERICHTE A/2213/2024 du 11 novembre 2025</w:t>
      </w:r>
    </w:p>
    <w:p>
      <w:r>
        <w:t>IT: GE_GERICHTE A/2213/2024 del 11 novembre 2025</w:t>
      </w:r>
    </w:p>
    <w:p>
      <w:pPr>
        <w:pStyle w:val="Heading2"/>
      </w:pPr>
      <w:r>
        <w:t>Regeste</w:t>
      </w:r>
    </w:p>
    <w:p>
      <w:r>
        <w:t>DROIT FISCAL;IMPÔT FÉDÉRAL DIRECT;IMPÔT CANTONAL ET COMMUNAL;IMPÔT SUR LE REVENU;DÉDUCTION DU REVENU DÉTERMINANT;ÉGALITÉ DE TRAITEMENT;INTERPRÉTATION(SENS GÉNÉRAL) | Contribuable ayant entrepris les démarches pour adopter l’enfant biologique de sa partenaire enregistrée. Question de savoir si la contribuable peut bénéficier du barème parental alors qu’elle est séparée de sa partenaire et que l’adoption de l’enfant n’a pas encore été prononcé. Après une interprétation des art. 36 al. 2bis et 35 al. 1 LIFD, la chambre administrative retient que seuls les parents disposant d’un lien de filiation avec les « enfants » au sens des art. 36 al. 2bis LIFD et 41 LIPP peuvent bénéficier du barème parental et du splitting. Pas de violation de l’égalité de traitement. La situation ne serait pas différente en cas d’adoption des enfants du conjoint après séparation d’un couple hétérosexuel. La contribuable ne subit aucune différence de traitement par rapport à un contribuable séparé ou divorcé s’occupant d’un enfant avec lequel il n’a pas de lien de filiation, quel que soit la situation du couple (partenariat enregistré, mariage ou concubinat). | LIFD.36.al2bis; LIPP.41; LPart.27a; cc.264c</w:t>
      </w:r>
    </w:p>
    <w:p>
      <w:pPr>
        <w:pStyle w:val="Heading2"/>
      </w:pPr>
      <w:r>
        <w:t>Erwägungen</w:t>
      </w:r>
    </w:p>
    <w:p>
      <w:r>
        <w:rPr>
          <w:b/>
        </w:rPr>
        <w:t>E. 4</w:t>
      </w:r>
    </w:p>
    <w:p>
      <w:r>
        <w:t>La recourante se plaint d'une atteinte à sa capacité contributive et d'une violation de l'égalité de traitement. Elle fait valoir que l’autorité fiscale n’a pas tenu compte du fait qu’elle assumait en pratique une majorité des soins et de garde de l’enfant. La position du fisc créait ainsi une inégalité de traitement par rapport à d’autres contribuables se trouvant dans une situation comparable, qu’il s’agisse de parents séparés ou divorcés assumant majoritairement la garde effective d’un enfant. Elle se plaint également d’être discriminée par rapport à un parent biologique.</w:t>
      </w:r>
    </w:p>
    <w:p>
      <w:r>
        <w:rPr>
          <w:b/>
        </w:rPr>
        <w:t>E. 4.1</w:t>
      </w:r>
    </w:p>
    <w:p>
      <w:r>
        <w:t>En matière fiscale, le principe d'égalité de l'art.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(ATF 141 II 338 consid. 3.2). Aux termes de l'art. 127 al. 2 Cst.,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chaque citoyen doit contribuer à la couverture des dépenses publiques compte tenu de sa situation personnelle et en proportion de ses moyens (ATF 144 II 313 consid. 6.1; 142 II 197 consid. 6.1 et les références). Un certain schématisme est admissible (ATF 141 II 338 consid. 4.5), à condition qu'il n'aboutisse pas à créer des solutions systématiquement inégalitaires (arrêt du Tribunal fédéral 9C_501/2023 du 21 octobre 2024 consid. 8.1 et la référence).</w:t>
      </w:r>
    </w:p>
    <w:p>
      <w:r>
        <w:rPr>
          <w:b/>
        </w:rPr>
        <w:t>E. 4.2</w:t>
      </w:r>
    </w:p>
    <w:p>
      <w:r>
        <w:t>On ne peut pas décider sur la base de critères formels si une loi fiscale satisfait aux exigences constitutionnelles précitées, car cette question dépend de celle de savoir si la loi est juste. La réponse à cette question évolue avec les circonstances politiques, sociales et économiques (ATF 140 II 157 consid. 7.2 et les références). C'est par conséquent, du point de vue démocratique, au législateur fiscal (art. 127 al. 1 Cst.) qu'il appartient d'aménager le système fiscal, d'arbitrer les conflits de valeurs et de concrétiser les principes d'imposition de façon à conférer précision, prévisibilité et sécurité à la réglementation fiscale. Le législateur dispose à cet égard d'un pouvoir d'appréciation étendu (sur ces questions, voir ATF 147 I 16 consid. 4.2.4 et les référence).</w:t>
      </w:r>
    </w:p>
    <w:p>
      <w:r>
        <w:rPr>
          <w:b/>
        </w:rPr>
        <w:t>E. 4.3</w:t>
      </w:r>
    </w:p>
    <w:p>
      <w:r>
        <w:t>Les barèmes ont pour but d’adapter de manière schématique la charge d’impôt à la situation personnelle et économique particulière de chaque catégorie de contribuables conformément au principe de l'imposition selon la capacité économique de l'art. 127 al. 2 de la Constitution fédérale de la Confédération suisse du 18 avril 1999 (Cst. - RS 101).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 consid. 4.5 ; 133 II 305 consid. 5.1 et 5.3 ; arrêt du Tribunal fédéral 2C_380/2020 précité consid. 4.3).</w:t>
      </w:r>
    </w:p>
    <w:p>
      <w:r>
        <w:rPr>
          <w:b/>
        </w:rPr>
        <w:t>E. 4.4</w:t>
      </w:r>
    </w:p>
    <w:p>
      <w:r>
        <w:t>En l’occurrence, le législateur, tant fédéral que cantonal, a fait usage de ces principes constitutionnels en édictant les art. 36 al. 2 bis LIFD et 41 LIPP et en précisant à quelles conditions le contribuable pouvait bénéficier d’un barème parental/ splitting . Il n’y a par conséquent pas lieu de s’écarter de la condition de l’existence d’un lien de filiation. S’ajoute à cela que, comme l’a rappelé le TAPI, la réglementation en matière de barème parental comprend nécessairement un certain schématisme en raison de la multiplicité des situations individuelles à considérer, ce qui est toutefois, de manière générale, compatible avec les principes ancrés à l'art. 127 Cst. S’il n’est pas possible de réaliser une égalité absolue, il suffit que la réglementation n’aboutisse pas de façon générale à une charge sensiblement plus lourde ou à une inégalité systématique à l'égard de certaines catégories de contribuables. Les barèmes différenciés prévus par le droit fédéral sont autant d'ajustements légaux de la charge fiscale qui montrent que le législateur a distingué les catégories de contribuables en fonction de leur capacité économique, de façon à établir entre elles et sous cet angle une certaine égalité de traitement. Les possibilités de comparer les différentes situations restent ainsi limitées (ATF 141 II 338 consid. 4.5 ; 120 Ia 329 consid. 4c à 4e ; 118 Ia 1 consid. 3c) et qu'il existe un risque de créer de nouvelles inégalités (ATF 133 II 305 consid. 5.1 ; 132 I 157 consid. 4.2). Or, la recourante ne parvient pas à démontrer que la réglementation en cause aboutit de façon générale à une charge sensiblement plus lourde ou à une inégalité systématique à l’égard de certaines catégories de contribuables. En tant qu’elle dénonce le fait que le refus de lui appliquer le barème parental/ splitting ne serait dû qu’à la lenteur de la procédure d’adoption, elle n’établit pas que la solution adoptée par le législateur, compte tenu de la généralité des autres déductions et avantages prévus par la loi, aboutirait à créer des solutions systématiquement inégalitaires au détriment des mères d’intention d’un enfant dans le contexte d’une dissolution d’un partenariat enregistré. On précisera que la situation ne serait pas différente en cas d’adoption des enfants du conjoint après séparation d’un couple hétérosexuel. La recourante ne subit, enfin, aucune différence de traitement par rapport à un contribuable séparé ou divorcé s’occupant d’un enfant avec lequel il n’a pas de lien de filiation, quel que soit la situation du couple (partenariat enregistré, mariage ou concubinat). Le grief tiré de la violation de l’égalité de traitement et de la capacité contributive doit partant être rejeté. Le recours sera donc rejeté.</w:t>
      </w:r>
    </w:p>
    <w:p>
      <w:r>
        <w:rPr>
          <w:b/>
        </w:rPr>
        <w:t>E. 5</w:t>
      </w:r>
    </w:p>
    <w:p>
      <w:r>
        <w:t>Vu l’issue du litige, un émolument de CHF 700.- sera mis à la charge de la recourante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