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A/2213/2017 vom 6. September 2017</w:t>
      </w:r>
    </w:p>
    <w:p>
      <w:r>
        <w:t>GE Cour de justice, 2017-09-06, FR</w:t>
      </w:r>
    </w:p>
    <w:p>
      <w:r>
        <w:rPr>
          <w:b/>
        </w:rPr>
        <w:t xml:space="preserve">Quelle: </w:t>
      </w:r>
      <w:r>
        <w:t>https://mcp.opencaselaw.ch/entscheid/ge_gerichte_A_2213_2017</w:t>
      </w:r>
    </w:p>
    <w:p>
      <w:r>
        <w:t>FR: GE_GERICHTE A/2213/2017 du 6 septembre 2017</w:t>
      </w:r>
    </w:p>
    <w:p>
      <w:r>
        <w:t>IT: GE_GERICHTE A/2213/2017 del 6 settembre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06.09.2017 A/2213/2017</w:t>
      </w:r>
    </w:p>
    <w:p>
      <w:r>
        <w:t>A/2213/2017 ATAS/768/2017 du 06.09.2017 ( AVS ) , RETIRE rÉpublique et canton de genÈve POUVOIR JUDICIAIRE A/2213/2017 ATAS/768/2017 COUR DE JUSTICE Chambre des assurances sociales Arrêt du 6 septembre 2017 4 ème Chambre En la cause Madame A_____, domiciliée au GRAND-SACONNEX, représentée par B_____ recourante contre CAISSE CANTONALE GENEVOISE DE COMPENSATION, sise rue des Gares 12, GENÈVE intimée Vu la décision sur opposition de la caisse cantonale genevoise de compensation (ci-après la caisse) du 19 avril 2017 confirmant ses décisions du 21 juillet 2016 qui refusaient d’affilier Madame A_____ (ci-après l’intéressée ou la recourante) en qualité de personne de condition indépendante pour ses activités d’aide à domicile ; Vu le recours interjeté par l’intéressée, par l’intermédiaire de la B_____, le 19 mai 2017 ; Vu la réponse de la caisse du 27 juin 2017 concluant au rejet du recours et à la confirmation de sa décision sur opposition du 19 avril 2017 ; Attendu que par courrier du 7 juillet 2017, la mandataire de la recourante a indiqué que cette dernière renonçait à son recours, étant précisé qu’elle allait poursuivre sa démarche d’affiliation auprès de la caisse en invoquant les faits nouveaux, à savoir l’engagement d’une personne salariée et l’acquisition de nouveaux clients ; Qu'il convient d'en prendre acte et de rayer la cause du rôle. PAR CES MOTIFS, LA CHAMBRE DES ASSURANCES SOCIALES : 1.        Prend acte du retrait du recours.![endif]&gt;![if&gt; 2.        Raye la cause du rôle.![endif]&gt;![if&gt; La greffière Isabelle CASTILLO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