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A/2206/2013 vom 2. September 2013</w:t>
      </w:r>
    </w:p>
    <w:p>
      <w:r>
        <w:t>GE Cour de justice, 2013-09-02, FR</w:t>
      </w:r>
    </w:p>
    <w:p>
      <w:r>
        <w:rPr>
          <w:b/>
        </w:rPr>
        <w:t xml:space="preserve">Quelle: </w:t>
      </w:r>
      <w:r>
        <w:t>https://mcp.opencaselaw.ch/entscheid/ge_gerichte_A_2206_2013</w:t>
      </w:r>
    </w:p>
    <w:p>
      <w:r>
        <w:t>FR: GE_GERICHTE A/2206/2013 du 2 septembre 2013</w:t>
      </w:r>
    </w:p>
    <w:p>
      <w:r>
        <w:t>IT: GE_GERICHTE A/2206/2013 del 2 settembre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02.09.2013 A/2206/2013</w:t>
      </w:r>
    </w:p>
    <w:p>
      <w:r>
        <w:t>A/2206/2013 ATAS/847/2013 du 02.09.2013 ( AVS ) , RETIRE RÉPUBLIQUE ET CANTON DE GENÈVE POUVOIR JUDICIAIRE A/2206/2013 ATAS/847/2013 COUR DE JUSTICE Chambre des assurances sociales Arrêt du 2 septembre 2013 9ème Chambre En la cause Monsieur H__________, domicilié à ANIERES recourant contre CAISSE CANTONALE GENEVOISE DE COMPENSATION, sis Service juridique; 12, rue des Gares; GENEVE intimé Vu la décision sur opposition du 20 juin 2013 de la CAISSE CANTONALE GENEVOISE DE COMPENSATION concernant les intérêts moratoires dus par Monsieur H__________ (recourant) pour les périodes de cotisations concernant l'année 2008 ; Vu le recours du 21 avril 2013 dans lequel le recourant précise que les cotisations 2008 ont été régulièrement versées ; Vu la décision de reconsidération du 29 juillet 2013 annulant la décision du 20 juin 2013 et constatant que le recourant n'est pas redevable à la CAISSE CANTONALE GENEVOISE DE COMPENSATION (CCGC) des intérêts moratoires litigieux ; Vu le courrier du recourant daté du 21 avril 2013 mais reçu le 20 août 2013 dans lequel le recourant renonce à poursuivre son recours ; Qu'il convient d'en prendre acte et de rayer la cause du rôle. PAR CES MOTIFS, LA CHAMBRE DES ASSURANCES SOCIALES : 1.        Prend acte du retrait du recours.![endif]&gt;![if&gt; 2.        Raye la cause du rôle.![endif]&gt;![if&gt; 3.        Dit que la procédure est gratuite.![endif]&gt;![if&gt; La greffière Brigitte BABEL La Présidente : Francine PAYOT ZEN-RUFFINEN Une copie conforme du présent arrêt est notifiée à l'Office fédéral des assurances sociales et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