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A/2200/2017 vom 3. Juli 2017</w:t>
      </w:r>
    </w:p>
    <w:p>
      <w:r>
        <w:t>GE Cour de justice, 2017-07-03, FR</w:t>
      </w:r>
    </w:p>
    <w:p>
      <w:r>
        <w:rPr>
          <w:b/>
        </w:rPr>
        <w:t xml:space="preserve">Quelle: </w:t>
      </w:r>
      <w:r>
        <w:t>https://mcp.opencaselaw.ch/entscheid/ge_gerichte_A_2200_2017</w:t>
      </w:r>
    </w:p>
    <w:p>
      <w:r>
        <w:t>FR: GE_GERICHTE A/2200/2017 du 3 juillet 2017</w:t>
      </w:r>
    </w:p>
    <w:p>
      <w:r>
        <w:t>IT: GE_GERICHTE A/2200/2017 del 3 luglio 2017</w:t>
      </w:r>
    </w:p>
    <w:p>
      <w:pPr>
        <w:pStyle w:val="Heading2"/>
      </w:pPr>
      <w:r>
        <w:t>Erwägungen</w:t>
      </w:r>
    </w:p>
    <w:p>
      <w:r>
        <w:rPr>
          <w:b/>
        </w:rPr>
        <w:t>E. 6</w:t>
      </w:r>
    </w:p>
    <w:p>
      <w:r>
        <w:t>a.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droit à l'indemnité de chômage a pour corollaire un certain nombre de devoirs qui découlent de l'obligation générale des assurés de réduire le dommage (ATF 123 V 88 consid. 4c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précisément ce risque, l'art. 30 al. 1 let. d LACI sanctionne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3 ème éd. 2016 n. 847 ss, plus spécialement n. 850; Boris RUBIN, op. cit., n. 5.8.7, p. 396 ss, plus spécialement n. 5.8.7.4, p. 401 ss). b. À teneur de l'art. 30 al. 3, 3 ème phrase, LACI, la durée de la suspension du droit à l'indemnité de chômage est proportionnelle à la gravité de la faute et ne peut excéder, par motif de suspension, soixante jours. La durée de la suspension dans l'exercice du droit à l'indemnité est de 1 à 15 jours en cas de faute légère, de 16 à 30 jours en cas de faute de gravité moyenne et de 31 à 60 jours en cas de faute grave (cf. art. 45 al. 2 let. a de l’Ordonnance sur l’assurance-chômage obligatoire et l’indemnité en cas d’insolvabilité, du 31 août 1983 - OACI ; RS 837.02). Il y a faute grave notamment lorsque l'assuré refuse un emploi réputé convenable sans motif valable (art. 45 al. 3 OACI). Il y a lieu de préciser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On ajoutera que cette jurisprudence – rendue à propos de l'ancien droit – reste valable après l'entrée en vigueur, le 1 er juillet 2003, de l'article 30 al. 1 let. d LACI actuel (cf. arrêt du Tribunal fédéral des assurances C 20/06 du 30 octobre 2006 consid. 4.2).</w:t>
      </w:r>
    </w:p>
    <w:p>
      <w:r>
        <w:rPr>
          <w:b/>
        </w:rPr>
        <w:t>E. 7</w:t>
      </w:r>
    </w:p>
    <w:p>
      <w:r>
        <w:t>Dans le domaine des assurances sociales,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(ATF 126 V 353 consid. 5b, 125 V 193 consid. 2 et les références; cf. ATF 130 III 321 consid. 3.2 et 3.3).</w:t>
      </w:r>
    </w:p>
    <w:p>
      <w:r>
        <w:rPr>
          <w:b/>
        </w:rPr>
        <w:t>E. 8</w:t>
      </w:r>
    </w:p>
    <w:p>
      <w:r>
        <w:t>En l’espèce, le recourant a expliqué qu’il avait respecté la consigne de l’OCE en donnant suite à l’assignation à un emploi vacant et en rédigeant un courriel de postulation le vendredi 3 février 2017, que toutefois ce courriel avait malencontreusement été classé dans le dossier brouillon au lieu d’être envoyé. La chambre de céans constate que l’impression papier du courriel figurant au dossier établit en effet que le recourant à omis d’indiquer un destinataire, de sorte que le courriel n’a pas pu être envoyé. L’intimé admet que le recourant était de bonne foi et qu’il pensait avoir bien adressé son courrier de candidature ; il lui reproche cependant une négligence, soit de ne pas avoir consulté sa boîte d’envoi. La chambre de céans relève que l’on peut effectivement reprocher au recourant de ne pas avoir contrôlé si son e-mail avait bien été envoyé, ce d’autant qu’il s’agit d’une manipulation simple à la portée du recourant, même si celui-ci invoque un niveau de formation limité. En revanche, le recourant a bien eu l’intention de postuler, comme l’admet l’intimé. Dans ces circonstances, la faute du recourant n’est pas grave mais doit être qualifiée au mieux de moyenne, de sorte que la suspension du droit à l’indemnité du recourant de trente-quatre jours est disproportionnée ; vu le barème du SECO précité, la sanction sera réduite de trente-quatre jours à dix-sept jours de suspension du droit à l’indemnité du recourant.</w:t>
      </w:r>
    </w:p>
    <w:p>
      <w:r>
        <w:rPr>
          <w:b/>
        </w:rPr>
        <w:t>E. 9</w:t>
      </w:r>
    </w:p>
    <w:p>
      <w:r>
        <w:t>Le recours sera en conséquence partiellement admis et la décision réformée en ce sens.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