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A/2198/2022 vom 7. März 2023</w:t>
      </w:r>
    </w:p>
    <w:p>
      <w:r>
        <w:t>GE Cour de justice, 2023-03-07, FR</w:t>
      </w:r>
    </w:p>
    <w:p>
      <w:r>
        <w:rPr>
          <w:b/>
        </w:rPr>
        <w:t xml:space="preserve">Quelle: </w:t>
      </w:r>
      <w:r>
        <w:t>https://mcp.opencaselaw.ch/entscheid/ge_gerichte_A_2198_2022</w:t>
      </w:r>
    </w:p>
    <w:p>
      <w:r>
        <w:t>FR: GE_GERICHTE A/2198/2022 du 7 mars 2023</w:t>
      </w:r>
    </w:p>
    <w:p>
      <w:r>
        <w:t>IT: GE_GERICHTE A/2198/2022 del 7 marzo 2023</w:t>
      </w:r>
    </w:p>
    <w:p>
      <w:pPr>
        <w:pStyle w:val="Heading2"/>
      </w:pPr>
      <w:r>
        <w:t>Erwägungen</w:t>
      </w:r>
    </w:p>
    <w:p>
      <w:r>
        <w:rPr>
          <w:b/>
        </w:rPr>
        <w:t>E. 2</w:t>
      </w:r>
    </w:p>
    <w:p>
      <w:r>
        <w:t>Le recourant soutient qu’il remplit les conditions permettant l’octroi d’une autorisation de séjour pour cas d’extrême gravité, tels que prévus par l’« opération Papyrus ».![endif]&gt;![if&gt;</w:t>
      </w:r>
    </w:p>
    <w:p>
      <w:r>
        <w:rPr>
          <w:b/>
        </w:rPr>
        <w:t>E. 2.1</w:t>
      </w:r>
    </w:p>
    <w:p>
      <w:r>
        <w:t>Le 1 er janvier 2019 est entrée en vigueur une modification de la LEI et de l’OASA. Conformément à l'art. 126 al. 1 LEI, les demandes déposées, comme en l’espèce, avant le 1 er janvier 2019 sont régies par l’ancien droit.![endif]&gt;![if&gt;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2.5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5.2).![endif]&gt;![if&gt;</w:t>
      </w:r>
    </w:p>
    <w:p>
      <w:r>
        <w:rPr>
          <w:b/>
        </w:rPr>
        <w:t>E. 2.6</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4.1).![endif]&gt;![if&gt;</w:t>
      </w:r>
    </w:p>
    <w:p>
      <w:r>
        <w:rPr>
          <w:b/>
        </w:rPr>
        <w:t>E. 2.7</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2.8</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w:t>
      </w:r>
    </w:p>
    <w:p>
      <w:r>
        <w:rPr>
          <w:b/>
        </w:rPr>
        <w:t>E. 2.9</w:t>
      </w:r>
    </w:p>
    <w:p>
      <w:r>
        <w:t>L’examen de la proportionnalité de la mesure, imposé par l’art. 96 LEI, se confond avec celui qui est prévu à l’art. 8 § 2 CEDH (ATF 139 I 31 consid. 2.3.2 ; 139 I 145 consid. 2.2).![endif]&gt;![if&gt;</w:t>
      </w:r>
    </w:p>
    <w:p>
      <w:r>
        <w:rPr>
          <w:b/>
        </w:rPr>
        <w:t>E. 2.10</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2.11</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3</w:t>
      </w:r>
    </w:p>
    <w:p>
      <w:r>
        <w:t>En l’espèce, il convient, en premier lieu, de relever que l’autorité intimée a été invitée par le SEM à réexaminer le dossier du recourant. Procédant à ce réexamen, l’OCPM est arrivé à une conclusion différente de celle à laquelle il était parvenu lors de son premier examen. Le recourant y voit un revirement inadmissible. Or, il est dans l’essence même du réexamen qu’il puisse conduire à un résultat différent de l’examen original. Le grief tiré de la seule issue différente du réexamen doit donc être écarté.![endif]&gt;![if&gt; Le recourant soutient séjourner en Suisse depuis juin 2005. Or, comme l’a constaté le TAPI à juste titre, le séjour du recourant a été interrompu en avril 2015 lorsqu’il a été renvoyé au Kosovo. Contrairement à ce que l’intéressé fait valoir, le fait qu’il soit revenu en Suisse quelques semaines après son renvoi ne permet nullement de faire fi de l’exécution du renvoi intervenue en avril 2015, constitutive d’une interruption de séjour. En outre, la durée du séjour du recourant doit être relativisée au regard du fait qu’elle a été effectuée dans l’illégalité jusqu’au 15 novembre 2019, date à laquelle l’OCPM a préavisé favorablement sa demande d’autorisation de séjour, et qu’il séjourne depuis lors en Suisse au simple bénéfice d’une tolérance. Compte tenu du fait que son séjour s’est essentiellement déroulé dans l’illégalité, il ne saurait non plus se plaindre d’une violation de l’art. 8 CEDH, comme exposé ci-dessus (consid. 2.8). Par ailleurs, quand bien même il conviendrait de tenir compte d’une durée de séjour en Suisse depuis 2005, le recourant ne remplirait pas les conditions permettant de retenir l’existence d’un cas de rigueur. En effet, celui-ci ne peut se prévaloir d’une intégration sociale remarquable. Certes, il est financièrement indépendant, ne fait pas l'objet de poursuites et maîtrise la langue française au niveau A2. Il ressort également des lettres de soutien produites qu’il a tissé des liens d’amitié à Genève. Il n’allègue, cependant, pas qu’il aurait noué à Genève des liens affectifs ou amicaux d’une intensité telle qu’il ne pourrait les poursuivre par le biais de moyens de télécommunication modernes une fois de retour au Kosovo. En outre, il est revenu en Suisse malgré l’IES prononcée à son encontre, valable du 1 er avril 2015 au 31 mars 2018, et la décision de renvoi, ne respectant ainsi pas les décisions rendues à son encontre. Il ne peut donc se targuer d’une intégration sociale marquée. Son activité professionnelle dans le domaine du bâtiment ne présente pas non plus un degré de réussite tel qu’il ne pourrait être exigé de sa part de la poursuivre dans son pays d’origine. Au contraire, il apparaît que le recourant pourra, en cas de retour dans son pays, mettre à profit l’expérience professionnelle et les connaissances acquises de la langue française acquises durant son séjour en Suisse. En outre, il ressort du dossier qu’il s’est régulièrement rendu dans son pays d’origine avec lequel il a conservé des attaches. Le recourant est encore relativement jeune et en bonne santé. Ayant selon ses indications vécu au Kosovo jusqu’en 2005, il y a passé son enfance, son adolescence et le début de sa vie d’adulte. Il connaît donc les us et coutumes de son pays et en parle la langue. Ainsi, quand bien même après le nombre d’années passées à l’étranger, il traversera à son retour dans son pays une nécessaire phase de réadaptation, sa réintégration socio-professionnelle ne parait pas gravement compromise. Au vu de l’ensemble de ces éléments, l’OCPM n’a pas violé le droit ni abusé de son pouvoir d’appréciation en retenant que le recourant ne remplissait pas les conditions restrictives permettant l’octroi d’une autorisation de séjour pour cas de rigueur.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w:t>
      </w:r>
    </w:p>
    <w:p>
      <w:r>
        <w:rPr>
          <w:b/>
        </w:rPr>
        <w:t>E. 4</w:t>
      </w:r>
    </w:p>
    <w:p>
      <w:r>
        <w:t>Il convient encore d’examiner si le renvoi prononcé par l’OCPM est fondé.![endif]&gt;![if&gt;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4.2</w:t>
      </w:r>
    </w:p>
    <w:p>
      <w:r>
        <w:t>En l'espèce, dès lors qu'il a, à juste titre, refusé l’octroi d’une autorisation de séjour au recourant, l'intimé devait prononcer son renvoi. Pour le surplus, aucun motif ne permet de retenir que son renvoi ne serait pas possible, licite ou ne pourrait raisonnablement être exigé.![endif]&gt;![if&gt; Mal fondé, le recours sera rejeté.</w:t>
      </w:r>
    </w:p>
    <w:p>
      <w:r>
        <w:rPr>
          <w:b/>
        </w:rPr>
        <w:t>E. 5</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