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A/2192/2014 vom 17. September 2014</w:t>
      </w:r>
    </w:p>
    <w:p>
      <w:r>
        <w:t>GE Cour de justice, 2014-09-17, FR</w:t>
      </w:r>
    </w:p>
    <w:p>
      <w:r>
        <w:rPr>
          <w:b/>
        </w:rPr>
        <w:t xml:space="preserve">Quelle: </w:t>
      </w:r>
      <w:r>
        <w:t>https://mcp.opencaselaw.ch/entscheid/ge_gerichte_A_2192_2014</w:t>
      </w:r>
    </w:p>
    <w:p>
      <w:r>
        <w:t>FR: GE_GERICHTE A/2192/2014 du 17 septembre 2014</w:t>
      </w:r>
    </w:p>
    <w:p>
      <w:r>
        <w:t>IT: GE_GERICHTE A/2192/2014 del 17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17.09.2014 A/2192/2014</w:t>
      </w:r>
    </w:p>
    <w:p>
      <w:r>
        <w:t>A/2192/2014 ATAS/1008/2014 du 17.09.2014 ( AI ) , RETIRE RÉPUBLIQUE ET CANTON DE GENÈVE POUVOIR JUDICIAIRE A/2192/2014 ATAS/1008/2014 COUR DE JUSTICE Chambre des assurances sociales Arrêt du 17 septembre 2014 4 ème Chambre En la cause Monsieur A______, domicilié à CAROUGE, comparant avec élection de domicile en l'étude de Maître Mike HORNUNG recourant contre OFFICE DE L'ASSURANCE-INVALIDITE DU CANTON DE GENÈVE, sis rue des Gares 12, GENÈVE intimé Vu la décision du 1 er juillet 2014 de l’office de l’assurance-invalidité du canton de Genève (ci-après OAI) d’octroi d’une rente d’invalidité limitée dans le temps et de refus de mesures professionnelles fixant la rente d’invalidité de Monsieur A______ (ci-après l’assuré ou le recourant) à CHF 1'492.- par mois du 1 er mai 2011 au 31 janvier 2012 ; Vu le recours interjeté le 15 juillet 2014 par l’assuré ; Vu la réponse du 13 août 2014 de l’OAI et la détermination de la caisse de compensation de la SSE du 11 août 2014 annexée ; Vu l’écriture du 21 août 2014 de l’OAI et la feuille de calcul de la caisse de compensation de la SSE annexée ; Vu le courrier du 9 septembre 2014 du conseil du recourant indiquant qu’au vu des écritures de l’OAI des 13 et 22 août, ce dernier retire son recours ; Qu'il convient d'en prendre acte et de rayer la cause du rôle. *** PAR CES MOTIFS, LA CHAMBRE DES ASSURANCES SOCIALES : 1.        Prend acte du retrait du recours.![endif]&gt;![if&gt; 2.        Raye la cause du rôle.![endif]&gt;![if&gt; La greffière Isabelle CASTILLO La Présidente :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