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A/2192/2010 vom 18. Mai 2010</w:t>
      </w:r>
    </w:p>
    <w:p>
      <w:r>
        <w:t>GE Cour de justice, 2010-05-18, FR</w:t>
      </w:r>
    </w:p>
    <w:p>
      <w:r>
        <w:rPr>
          <w:b/>
        </w:rPr>
        <w:t xml:space="preserve">Quelle: </w:t>
      </w:r>
      <w:r>
        <w:t>https://mcp.opencaselaw.ch/entscheid/ge_gerichte_A_2192_2010</w:t>
      </w:r>
    </w:p>
    <w:p>
      <w:r>
        <w:t>FR: GE_GERICHTE A/2192/2010 du 18 mai 2010</w:t>
      </w:r>
    </w:p>
    <w:p>
      <w:r>
        <w:t>IT: GE_GERICHTE A/2192/2010 del 18 maggio 2010</w:t>
      </w:r>
    </w:p>
    <w:p>
      <w:pPr>
        <w:pStyle w:val="Heading2"/>
      </w:pPr>
      <w:r>
        <w:t>Erwägungen</w:t>
      </w:r>
    </w:p>
    <w:p>
      <w:r>
        <w:rPr>
          <w:b/>
        </w:rPr>
        <w:t>E. 1</w:t>
      </w:r>
    </w:p>
    <w:p>
      <w:r>
        <w:t>Par arrêt du 18 mai 2010, notifié le 27 du même mois ( ATA/347/2010 ), le Tribunal administratif a admis partiellement le recours déposé le 22 mars 2010 par Madame A______ contre une décision du 3 mars 2010 du service de la consommation et des affaires vétérinaires (ci-après : SCAV). Le droit d’être entendu de Mme A______ n’avait pas été violé et le grief développé à cet égard était infondé. Le séquestre définitif prononcé par le SCAV était commué en séquestre provisoire dont la levée pourra être subordonnée à la délivrance de l’autorisation d’acquisition et de détention d’un chien potentiellement dangereux déposée par Mme A______ le 28 avril 2010. Les frais de fourrière jusqu’à la date du prononcé de la décision litigieuse restaient à charge de la recourante. L’amende administrative, qui n’était pas remise en question, était confirmée. Le Tribunal administratif a mis à la charge de Mme A______ un émolument de CHF 250.- et un émolument du même montant à la charge du SCAV. Il a alloué à Mme A______ une indemnité de procédure de CHF 1'000.- à la charge de l’Etat de Genève.</w:t>
      </w:r>
    </w:p>
    <w:p>
      <w:r>
        <w:rPr>
          <w:b/>
        </w:rPr>
        <w:t>E. 2</w:t>
      </w:r>
    </w:p>
    <w:p>
      <w:r>
        <w:t>Le 28 juin 2010, Mme A______ a déposé au greffe du Tribunal administratif une réclamation sur émolument et indemnité. Le recours du 22 mars 2010 était d’emblée bien fondé au regard de la violation du droit d’être entendu qui aurait entraîné l’annulation de la décision attaquée indépendamment du fond du litige si l’autorité intimée n’avait pas rendu une nouvelle décision entretemps. Elle n’avait jamais contesté son engagement à procéder à l’enregistrement administratif de son animal ni à suivre toute autre démarche idoine. Dans ce sens, c’était à tort que le Tribunal administratif avait considéré l’admission du recours comme partielle. Il convenait donc d’annuler l’émolument mis à sa charge. Conformément à la jurisprudence du Tribunal fédéral, elle avait droit à des pleins dépens, ayant obtenu dans le cadre de la procédure de recours une décision respectant son droit d’être entendu (Arrêt du Tribunal fédéral 1P.265/2000 du 15 juin 2006). Ceux-ci auraient dû être fixés à CHF 2'500.-. Elle conclut à l’annulation de l’émolument mis à sa charge et à ce que lui soit allouée une indemnité de procédure de CHF 2'500.- avec suite de frais et dépens pour la procédure de réclamation.</w:t>
      </w:r>
    </w:p>
    <w:p>
      <w:r>
        <w:rPr>
          <w:b/>
        </w:rPr>
        <w:t>E. 3</w:t>
      </w:r>
    </w:p>
    <w:p>
      <w:r>
        <w:t>Invité à se déterminer, le SCAV s’est opposé à la demande susmentionnée dans ses écritures du 8 juillet 2010. La réclamation était dilatoire. Contrairement à ce qu’alléguait la réclamante, le Tribunal administratif ne pouvait pas lui accorder le plein de ses conclusions. Ce dernier n’avait pas erré en considérant l’admission partielle du recours et c’était avec raison qu’il avait mis à la charge de chacune des parties des émoluments égaux. Dans ces conditions, Mme A______ n’avait aucun droit à demander des pleins dépens.</w:t>
      </w:r>
    </w:p>
    <w:p>
      <w:r>
        <w:rPr>
          <w:b/>
        </w:rPr>
        <w:t>E. 4</w:t>
      </w:r>
    </w:p>
    <w:p>
      <w:r>
        <w:t>En l’espèce, Mme A______ a mis en œuvre la justice et quoiqu’elle le prétende, elle a partiellement succombé. Pour s’en convaincre, il suffit de se référer au chiffre 1 en fait ci-dessus. Il s’ensuit d’une part, que la référence à l’arrêt du Tribunal fédéral du 15 juin 2006 n’est pas pertinente et d’autre part, que la perception d’un émolument de CHF 250.- était parfaitement justifiée de sorte que la réclamation ne peut être que rejetée sur cette question.</w:t>
      </w:r>
    </w:p>
    <w:p>
      <w:r>
        <w:rPr>
          <w:b/>
        </w:rPr>
        <w:t>E. 5</w:t>
      </w:r>
    </w:p>
    <w:p>
      <w:r>
        <w:t>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 En l’espèce, le mandataire de l’intéressée a déposé le 22 mars 2010 un recours de treize pages. Il a par la suite adressé un courrier de type purement administratif au tribunal de céans. Il n’y a pas eu d’audience de comparution personnelle. Conformément à la pratique genevoise, et en particulier à celle qui prévaut devant le Tribunal administratif, le mandataire de Mme A______ n’a pas produit de note d’honoraires ni indiqué le tarif horaire de l’avocat qu’il convenait de prendre en considération. Cela étant, il résulte des textes légaux et réglementaires précités, que le tribunal de céans jouit d’un large pouvoir d’appréciation qu’il exerce en tenant compte des principes développés ci-avant. Dans le cas d’espèce, il apparaît que l’indemnité de procédure de CHF 1'000.- allouée dans l’arrêt du 18 mai 2010 est en adéquation avec le travail fourni et le résultat obtenu. Il s’ensuit que la réclamation sur indemnité sera rejetée.</w:t>
      </w:r>
    </w:p>
    <w:p>
      <w:r>
        <w:rPr>
          <w:b/>
        </w:rPr>
        <w:t>E. 6</w:t>
      </w:r>
    </w:p>
    <w:p>
      <w:r>
        <w:t>Conformément à la pratique constante du tribunal de céans, aucun émolument ne sera perçu dans la présente cause ( ATA/681/2009 du 22 décembre 2009 et les réf. citées). Vu l’issue du litige, aucune indemnité de procédure ne sera accordée pour cette réclamation, le SCAV étant un service de l’Etat de Genève disposant en son sein de juristes compétents.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